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80" w:lineRule="auto"/>
        <w:jc w:val="center"/>
        <w:rPr>
          <w:rFonts w:ascii="方正小标宋简体" w:hAnsi="仿宋" w:eastAsia="方正小标宋简体"/>
          <w:sz w:val="32"/>
          <w:szCs w:val="32"/>
        </w:rPr>
      </w:pPr>
    </w:p>
    <w:p>
      <w:pPr>
        <w:spacing w:line="480" w:lineRule="auto"/>
        <w:jc w:val="center"/>
        <w:rPr>
          <w:rFonts w:ascii="黑体" w:hAnsi="黑体" w:eastAsia="黑体"/>
          <w:sz w:val="44"/>
          <w:szCs w:val="44"/>
        </w:rPr>
      </w:pPr>
      <w:bookmarkStart w:id="0" w:name="_Hlk513108820"/>
      <w:r>
        <w:rPr>
          <w:rFonts w:hint="eastAsia" w:ascii="黑体" w:hAnsi="黑体" w:eastAsia="黑体" w:cs="宋体"/>
          <w:b/>
          <w:sz w:val="44"/>
          <w:szCs w:val="44"/>
        </w:rPr>
        <w:t>湖北省政协办公厅</w:t>
      </w:r>
    </w:p>
    <w:bookmarkEnd w:id="0"/>
    <w:p>
      <w:pPr>
        <w:spacing w:line="480" w:lineRule="auto"/>
        <w:jc w:val="center"/>
        <w:rPr>
          <w:rFonts w:ascii="黑体" w:hAnsi="黑体" w:eastAsia="黑体"/>
          <w:sz w:val="44"/>
          <w:szCs w:val="44"/>
        </w:rPr>
      </w:pPr>
      <w:r>
        <w:rPr>
          <w:rFonts w:hint="eastAsia" w:ascii="黑体" w:hAnsi="黑体" w:eastAsia="黑体"/>
          <w:sz w:val="44"/>
          <w:szCs w:val="44"/>
        </w:rPr>
        <w:t>2017年整体支出绩效自评报告</w:t>
      </w:r>
    </w:p>
    <w:p>
      <w:pPr>
        <w:spacing w:line="480" w:lineRule="auto"/>
        <w:ind w:firstLine="640" w:firstLineChars="200"/>
        <w:jc w:val="center"/>
        <w:rPr>
          <w:rFonts w:ascii="方正小标宋简体" w:hAnsi="仿宋" w:eastAsia="方正小标宋简体"/>
          <w:sz w:val="32"/>
          <w:szCs w:val="32"/>
        </w:rPr>
      </w:pPr>
    </w:p>
    <w:p>
      <w:pPr>
        <w:spacing w:line="480" w:lineRule="auto"/>
        <w:ind w:firstLine="640" w:firstLineChars="200"/>
        <w:jc w:val="left"/>
        <w:rPr>
          <w:rFonts w:ascii="黑体" w:hAnsi="黑体" w:eastAsia="黑体"/>
          <w:sz w:val="32"/>
          <w:szCs w:val="32"/>
        </w:rPr>
      </w:pPr>
      <w:r>
        <w:rPr>
          <w:rFonts w:hint="eastAsia" w:ascii="黑体" w:hAnsi="黑体" w:eastAsia="黑体"/>
          <w:sz w:val="32"/>
          <w:szCs w:val="32"/>
        </w:rPr>
        <w:t>一、绩效自评结论</w:t>
      </w:r>
    </w:p>
    <w:p>
      <w:pPr>
        <w:spacing w:line="480" w:lineRule="auto"/>
        <w:ind w:firstLine="643" w:firstLineChars="200"/>
        <w:jc w:val="left"/>
        <w:rPr>
          <w:rFonts w:ascii="楷体" w:hAnsi="楷体" w:eastAsia="楷体"/>
          <w:b/>
          <w:sz w:val="32"/>
          <w:szCs w:val="32"/>
        </w:rPr>
      </w:pPr>
      <w:bookmarkStart w:id="1" w:name="_Hlk511812022"/>
      <w:r>
        <w:rPr>
          <w:rFonts w:hint="eastAsia" w:ascii="楷体" w:hAnsi="楷体" w:eastAsia="楷体"/>
          <w:b/>
          <w:sz w:val="32"/>
          <w:szCs w:val="32"/>
        </w:rPr>
        <w:t>（一）评分结果</w:t>
      </w:r>
    </w:p>
    <w:tbl>
      <w:tblPr>
        <w:tblStyle w:val="6"/>
        <w:tblW w:w="86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668"/>
        <w:gridCol w:w="1125"/>
        <w:gridCol w:w="1397"/>
        <w:gridCol w:w="1399"/>
        <w:gridCol w:w="1399"/>
        <w:gridCol w:w="1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24" w:hRule="atLeast"/>
          <w:tblHeader/>
        </w:trPr>
        <w:tc>
          <w:tcPr>
            <w:tcW w:w="1668" w:type="dxa"/>
            <w:vAlign w:val="center"/>
          </w:tcPr>
          <w:p>
            <w:pPr>
              <w:widowControl/>
              <w:spacing w:line="480" w:lineRule="auto"/>
              <w:jc w:val="center"/>
              <w:rPr>
                <w:rFonts w:ascii="仿宋" w:hAnsi="仿宋" w:eastAsia="仿宋" w:cs="宋体"/>
                <w:b/>
                <w:kern w:val="0"/>
                <w:sz w:val="24"/>
              </w:rPr>
            </w:pPr>
            <w:r>
              <w:rPr>
                <w:rFonts w:hint="eastAsia" w:ascii="仿宋" w:hAnsi="仿宋" w:eastAsia="仿宋" w:cs="宋体"/>
                <w:b/>
                <w:kern w:val="0"/>
                <w:sz w:val="24"/>
              </w:rPr>
              <w:t>评价指标</w:t>
            </w:r>
          </w:p>
        </w:tc>
        <w:tc>
          <w:tcPr>
            <w:tcW w:w="1125" w:type="dxa"/>
            <w:vAlign w:val="center"/>
          </w:tcPr>
          <w:p>
            <w:pPr>
              <w:widowControl/>
              <w:spacing w:line="480" w:lineRule="auto"/>
              <w:jc w:val="center"/>
              <w:rPr>
                <w:rFonts w:ascii="仿宋" w:hAnsi="仿宋" w:eastAsia="仿宋" w:cs="宋体"/>
                <w:b/>
                <w:kern w:val="0"/>
                <w:sz w:val="24"/>
              </w:rPr>
            </w:pPr>
            <w:r>
              <w:rPr>
                <w:rFonts w:hint="eastAsia" w:ascii="仿宋" w:hAnsi="仿宋" w:eastAsia="仿宋" w:cs="宋体"/>
                <w:b/>
                <w:kern w:val="0"/>
                <w:sz w:val="24"/>
              </w:rPr>
              <w:t>权重</w:t>
            </w:r>
          </w:p>
        </w:tc>
        <w:tc>
          <w:tcPr>
            <w:tcW w:w="1397" w:type="dxa"/>
            <w:vAlign w:val="center"/>
          </w:tcPr>
          <w:p>
            <w:pPr>
              <w:widowControl/>
              <w:spacing w:line="480" w:lineRule="auto"/>
              <w:jc w:val="center"/>
              <w:rPr>
                <w:rFonts w:ascii="仿宋" w:hAnsi="仿宋" w:eastAsia="仿宋" w:cs="宋体"/>
                <w:b/>
                <w:kern w:val="0"/>
                <w:sz w:val="24"/>
              </w:rPr>
            </w:pPr>
            <w:r>
              <w:rPr>
                <w:rFonts w:hint="eastAsia" w:ascii="仿宋" w:hAnsi="仿宋" w:eastAsia="仿宋" w:cs="宋体"/>
                <w:b/>
                <w:kern w:val="0"/>
                <w:sz w:val="24"/>
              </w:rPr>
              <w:t>评级分值</w:t>
            </w:r>
          </w:p>
        </w:tc>
        <w:tc>
          <w:tcPr>
            <w:tcW w:w="1399" w:type="dxa"/>
            <w:vAlign w:val="center"/>
          </w:tcPr>
          <w:p>
            <w:pPr>
              <w:widowControl/>
              <w:spacing w:line="480" w:lineRule="auto"/>
              <w:jc w:val="center"/>
              <w:rPr>
                <w:rFonts w:ascii="仿宋" w:hAnsi="仿宋" w:eastAsia="仿宋" w:cs="宋体"/>
                <w:b/>
                <w:kern w:val="0"/>
                <w:sz w:val="24"/>
              </w:rPr>
            </w:pPr>
            <w:r>
              <w:rPr>
                <w:rFonts w:hint="eastAsia" w:ascii="仿宋" w:hAnsi="仿宋" w:eastAsia="仿宋" w:cs="宋体"/>
                <w:b/>
                <w:kern w:val="0"/>
                <w:sz w:val="24"/>
              </w:rPr>
              <w:t>项目得分</w:t>
            </w:r>
          </w:p>
        </w:tc>
        <w:tc>
          <w:tcPr>
            <w:tcW w:w="1399" w:type="dxa"/>
            <w:vAlign w:val="center"/>
          </w:tcPr>
          <w:p>
            <w:pPr>
              <w:widowControl/>
              <w:spacing w:line="480" w:lineRule="auto"/>
              <w:jc w:val="center"/>
              <w:rPr>
                <w:rFonts w:ascii="仿宋" w:hAnsi="仿宋" w:eastAsia="仿宋" w:cs="宋体"/>
                <w:b/>
                <w:kern w:val="0"/>
                <w:sz w:val="24"/>
              </w:rPr>
            </w:pPr>
            <w:r>
              <w:rPr>
                <w:rFonts w:hint="eastAsia" w:ascii="仿宋" w:hAnsi="仿宋" w:eastAsia="仿宋" w:cs="宋体"/>
                <w:b/>
                <w:kern w:val="0"/>
                <w:sz w:val="24"/>
              </w:rPr>
              <w:t>得分率</w:t>
            </w:r>
          </w:p>
        </w:tc>
        <w:tc>
          <w:tcPr>
            <w:tcW w:w="1625" w:type="dxa"/>
            <w:vAlign w:val="center"/>
          </w:tcPr>
          <w:p>
            <w:pPr>
              <w:widowControl/>
              <w:spacing w:line="480" w:lineRule="auto"/>
              <w:jc w:val="center"/>
              <w:rPr>
                <w:rFonts w:ascii="仿宋" w:hAnsi="仿宋" w:eastAsia="仿宋" w:cs="宋体"/>
                <w:b/>
                <w:kern w:val="0"/>
                <w:sz w:val="24"/>
              </w:rPr>
            </w:pPr>
            <w:r>
              <w:rPr>
                <w:rFonts w:hint="eastAsia" w:ascii="仿宋" w:hAnsi="仿宋" w:eastAsia="仿宋" w:cs="宋体"/>
                <w:b/>
                <w:kern w:val="0"/>
                <w:sz w:val="24"/>
              </w:rPr>
              <w:t>得分等级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24" w:hRule="atLeast"/>
        </w:trPr>
        <w:tc>
          <w:tcPr>
            <w:tcW w:w="1668" w:type="dxa"/>
            <w:vAlign w:val="center"/>
          </w:tcPr>
          <w:p>
            <w:pPr>
              <w:widowControl/>
              <w:spacing w:line="480" w:lineRule="auto"/>
              <w:jc w:val="center"/>
              <w:rPr>
                <w:rFonts w:ascii="仿宋" w:hAnsi="仿宋" w:eastAsia="仿宋" w:cs="宋体"/>
                <w:kern w:val="0"/>
                <w:sz w:val="24"/>
              </w:rPr>
            </w:pPr>
            <w:r>
              <w:rPr>
                <w:rFonts w:hint="eastAsia" w:ascii="仿宋" w:hAnsi="仿宋" w:eastAsia="仿宋" w:cs="宋体"/>
                <w:kern w:val="0"/>
                <w:sz w:val="24"/>
              </w:rPr>
              <w:t>预算管理</w:t>
            </w:r>
          </w:p>
        </w:tc>
        <w:tc>
          <w:tcPr>
            <w:tcW w:w="1125" w:type="dxa"/>
            <w:vAlign w:val="center"/>
          </w:tcPr>
          <w:p>
            <w:pPr>
              <w:widowControl/>
              <w:spacing w:line="480" w:lineRule="auto"/>
              <w:jc w:val="center"/>
              <w:rPr>
                <w:rFonts w:ascii="仿宋" w:hAnsi="仿宋" w:eastAsia="仿宋" w:cs="宋体"/>
                <w:kern w:val="0"/>
                <w:sz w:val="24"/>
              </w:rPr>
            </w:pPr>
            <w:r>
              <w:rPr>
                <w:rFonts w:ascii="仿宋" w:hAnsi="仿宋" w:eastAsia="仿宋" w:cs="宋体"/>
                <w:kern w:val="0"/>
                <w:sz w:val="24"/>
              </w:rPr>
              <w:t>20</w:t>
            </w:r>
            <w:r>
              <w:rPr>
                <w:rFonts w:hint="eastAsia" w:ascii="仿宋" w:hAnsi="仿宋" w:eastAsia="仿宋" w:cs="宋体"/>
                <w:kern w:val="0"/>
                <w:sz w:val="24"/>
              </w:rPr>
              <w:t>%</w:t>
            </w:r>
          </w:p>
        </w:tc>
        <w:tc>
          <w:tcPr>
            <w:tcW w:w="1397" w:type="dxa"/>
            <w:vAlign w:val="center"/>
          </w:tcPr>
          <w:p>
            <w:pPr>
              <w:widowControl/>
              <w:spacing w:line="480" w:lineRule="auto"/>
              <w:jc w:val="center"/>
              <w:rPr>
                <w:rFonts w:ascii="仿宋" w:hAnsi="仿宋" w:eastAsia="仿宋" w:cs="宋体"/>
                <w:kern w:val="0"/>
                <w:sz w:val="24"/>
              </w:rPr>
            </w:pPr>
            <w:r>
              <w:rPr>
                <w:rFonts w:ascii="仿宋" w:hAnsi="仿宋" w:eastAsia="仿宋" w:cs="宋体"/>
                <w:kern w:val="0"/>
                <w:sz w:val="24"/>
              </w:rPr>
              <w:t>20</w:t>
            </w:r>
          </w:p>
        </w:tc>
        <w:tc>
          <w:tcPr>
            <w:tcW w:w="1399" w:type="dxa"/>
            <w:vAlign w:val="top"/>
          </w:tcPr>
          <w:p>
            <w:pPr>
              <w:widowControl/>
              <w:spacing w:line="480" w:lineRule="auto"/>
              <w:jc w:val="center"/>
              <w:rPr>
                <w:rFonts w:ascii="仿宋" w:hAnsi="仿宋" w:eastAsia="仿宋" w:cs="宋体"/>
                <w:kern w:val="0"/>
                <w:sz w:val="24"/>
              </w:rPr>
            </w:pPr>
            <w:r>
              <w:rPr>
                <w:rFonts w:ascii="仿宋" w:hAnsi="仿宋" w:eastAsia="仿宋" w:cs="宋体"/>
                <w:kern w:val="0"/>
                <w:sz w:val="24"/>
              </w:rPr>
              <w:t>1</w:t>
            </w:r>
            <w:r>
              <w:rPr>
                <w:rFonts w:hint="eastAsia" w:ascii="仿宋" w:hAnsi="仿宋" w:eastAsia="仿宋" w:cs="宋体"/>
                <w:kern w:val="0"/>
                <w:sz w:val="24"/>
              </w:rPr>
              <w:t>8</w:t>
            </w:r>
            <w:r>
              <w:rPr>
                <w:rFonts w:ascii="仿宋" w:hAnsi="仿宋" w:eastAsia="仿宋" w:cs="宋体"/>
                <w:kern w:val="0"/>
                <w:sz w:val="24"/>
              </w:rPr>
              <w:t>.</w:t>
            </w:r>
            <w:r>
              <w:rPr>
                <w:rFonts w:hint="eastAsia" w:ascii="仿宋" w:hAnsi="仿宋" w:eastAsia="仿宋" w:cs="宋体"/>
                <w:kern w:val="0"/>
                <w:sz w:val="24"/>
              </w:rPr>
              <w:t>87</w:t>
            </w:r>
          </w:p>
        </w:tc>
        <w:tc>
          <w:tcPr>
            <w:tcW w:w="1399" w:type="dxa"/>
            <w:vAlign w:val="center"/>
          </w:tcPr>
          <w:p>
            <w:pPr>
              <w:widowControl/>
              <w:spacing w:line="480" w:lineRule="auto"/>
              <w:jc w:val="center"/>
              <w:rPr>
                <w:rFonts w:ascii="仿宋" w:hAnsi="仿宋" w:eastAsia="仿宋" w:cs="宋体"/>
                <w:kern w:val="0"/>
                <w:sz w:val="24"/>
              </w:rPr>
            </w:pPr>
            <w:r>
              <w:rPr>
                <w:rFonts w:ascii="仿宋" w:hAnsi="仿宋" w:eastAsia="仿宋" w:cs="宋体"/>
                <w:kern w:val="0"/>
                <w:sz w:val="24"/>
              </w:rPr>
              <w:t>95.</w:t>
            </w:r>
            <w:r>
              <w:rPr>
                <w:rFonts w:hint="eastAsia" w:ascii="仿宋" w:hAnsi="仿宋" w:eastAsia="仿宋" w:cs="宋体"/>
                <w:kern w:val="0"/>
                <w:sz w:val="24"/>
              </w:rPr>
              <w:t>85%</w:t>
            </w:r>
          </w:p>
        </w:tc>
        <w:tc>
          <w:tcPr>
            <w:tcW w:w="1625" w:type="dxa"/>
            <w:vAlign w:val="center"/>
          </w:tcPr>
          <w:p>
            <w:pPr>
              <w:widowControl/>
              <w:spacing w:line="480" w:lineRule="auto"/>
              <w:jc w:val="center"/>
              <w:rPr>
                <w:rFonts w:ascii="仿宋" w:hAnsi="仿宋" w:eastAsia="仿宋" w:cs="宋体"/>
                <w:kern w:val="0"/>
                <w:sz w:val="24"/>
              </w:rPr>
            </w:pPr>
            <w:r>
              <w:rPr>
                <w:rFonts w:hint="eastAsia" w:ascii="仿宋" w:hAnsi="仿宋" w:eastAsia="仿宋" w:cs="宋体"/>
                <w:kern w:val="0"/>
                <w:sz w:val="24"/>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24" w:hRule="atLeast"/>
        </w:trPr>
        <w:tc>
          <w:tcPr>
            <w:tcW w:w="1668" w:type="dxa"/>
            <w:vAlign w:val="center"/>
          </w:tcPr>
          <w:p>
            <w:pPr>
              <w:widowControl/>
              <w:spacing w:line="480" w:lineRule="auto"/>
              <w:jc w:val="center"/>
              <w:rPr>
                <w:rFonts w:hint="eastAsia" w:ascii="仿宋" w:hAnsi="仿宋" w:eastAsia="仿宋" w:cs="宋体"/>
                <w:kern w:val="0"/>
                <w:sz w:val="24"/>
              </w:rPr>
            </w:pPr>
            <w:r>
              <w:rPr>
                <w:rFonts w:hint="eastAsia" w:ascii="仿宋" w:hAnsi="仿宋" w:eastAsia="仿宋" w:cs="宋体"/>
                <w:kern w:val="0"/>
                <w:sz w:val="24"/>
              </w:rPr>
              <w:t>年度目标1</w:t>
            </w:r>
          </w:p>
        </w:tc>
        <w:tc>
          <w:tcPr>
            <w:tcW w:w="1125" w:type="dxa"/>
            <w:vAlign w:val="center"/>
          </w:tcPr>
          <w:p>
            <w:pPr>
              <w:widowControl/>
              <w:spacing w:line="480" w:lineRule="auto"/>
              <w:jc w:val="center"/>
              <w:rPr>
                <w:rFonts w:hint="eastAsia" w:ascii="仿宋" w:hAnsi="仿宋" w:eastAsia="仿宋" w:cs="宋体"/>
                <w:kern w:val="0"/>
                <w:sz w:val="24"/>
              </w:rPr>
            </w:pPr>
            <w:r>
              <w:rPr>
                <w:rFonts w:hint="eastAsia" w:ascii="仿宋" w:hAnsi="仿宋" w:eastAsia="仿宋" w:cs="宋体"/>
                <w:kern w:val="0"/>
                <w:sz w:val="24"/>
              </w:rPr>
              <w:t>27%</w:t>
            </w:r>
          </w:p>
        </w:tc>
        <w:tc>
          <w:tcPr>
            <w:tcW w:w="1397" w:type="dxa"/>
            <w:vAlign w:val="center"/>
          </w:tcPr>
          <w:p>
            <w:pPr>
              <w:widowControl/>
              <w:spacing w:line="480" w:lineRule="auto"/>
              <w:jc w:val="center"/>
              <w:rPr>
                <w:rFonts w:hint="eastAsia" w:ascii="仿宋" w:hAnsi="仿宋" w:eastAsia="仿宋" w:cs="宋体"/>
                <w:kern w:val="0"/>
                <w:sz w:val="24"/>
              </w:rPr>
            </w:pPr>
            <w:r>
              <w:rPr>
                <w:rFonts w:hint="eastAsia" w:ascii="仿宋" w:hAnsi="仿宋" w:eastAsia="仿宋" w:cs="宋体"/>
                <w:kern w:val="0"/>
                <w:sz w:val="24"/>
              </w:rPr>
              <w:t>27</w:t>
            </w:r>
          </w:p>
        </w:tc>
        <w:tc>
          <w:tcPr>
            <w:tcW w:w="1399" w:type="dxa"/>
            <w:vAlign w:val="top"/>
          </w:tcPr>
          <w:p>
            <w:pPr>
              <w:widowControl/>
              <w:spacing w:line="480" w:lineRule="auto"/>
              <w:jc w:val="center"/>
              <w:rPr>
                <w:rFonts w:ascii="仿宋" w:hAnsi="仿宋" w:eastAsia="仿宋" w:cs="宋体"/>
                <w:kern w:val="0"/>
                <w:sz w:val="24"/>
              </w:rPr>
            </w:pPr>
            <w:r>
              <w:rPr>
                <w:rFonts w:hint="eastAsia" w:ascii="仿宋" w:hAnsi="仿宋" w:eastAsia="仿宋" w:cs="宋体"/>
                <w:kern w:val="0"/>
                <w:sz w:val="24"/>
              </w:rPr>
              <w:t>25.8</w:t>
            </w:r>
          </w:p>
        </w:tc>
        <w:tc>
          <w:tcPr>
            <w:tcW w:w="1399" w:type="dxa"/>
            <w:vAlign w:val="center"/>
          </w:tcPr>
          <w:p>
            <w:pPr>
              <w:widowControl/>
              <w:spacing w:line="480" w:lineRule="auto"/>
              <w:jc w:val="center"/>
              <w:rPr>
                <w:rFonts w:hint="eastAsia" w:ascii="仿宋" w:hAnsi="仿宋" w:eastAsia="仿宋" w:cs="宋体"/>
                <w:kern w:val="0"/>
                <w:sz w:val="24"/>
              </w:rPr>
            </w:pPr>
            <w:r>
              <w:rPr>
                <w:rFonts w:ascii="仿宋" w:hAnsi="仿宋" w:eastAsia="仿宋" w:cs="宋体"/>
                <w:kern w:val="0"/>
                <w:sz w:val="24"/>
              </w:rPr>
              <w:t>95.</w:t>
            </w:r>
            <w:r>
              <w:rPr>
                <w:rFonts w:hint="eastAsia" w:ascii="仿宋" w:hAnsi="仿宋" w:eastAsia="仿宋" w:cs="宋体"/>
                <w:kern w:val="0"/>
                <w:sz w:val="24"/>
              </w:rPr>
              <w:t>56%</w:t>
            </w:r>
          </w:p>
        </w:tc>
        <w:tc>
          <w:tcPr>
            <w:tcW w:w="1625" w:type="dxa"/>
            <w:vAlign w:val="top"/>
          </w:tcPr>
          <w:p>
            <w:pPr>
              <w:widowControl/>
              <w:spacing w:line="480" w:lineRule="auto"/>
              <w:jc w:val="center"/>
              <w:rPr>
                <w:rFonts w:ascii="仿宋" w:hAnsi="仿宋" w:eastAsia="仿宋" w:cs="宋体"/>
                <w:kern w:val="0"/>
                <w:sz w:val="24"/>
              </w:rPr>
            </w:pPr>
            <w:r>
              <w:rPr>
                <w:rFonts w:hint="eastAsia" w:ascii="仿宋" w:hAnsi="仿宋" w:eastAsia="仿宋" w:cs="宋体"/>
                <w:kern w:val="0"/>
                <w:sz w:val="24"/>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24" w:hRule="atLeast"/>
        </w:trPr>
        <w:tc>
          <w:tcPr>
            <w:tcW w:w="1668" w:type="dxa"/>
            <w:vAlign w:val="top"/>
          </w:tcPr>
          <w:p>
            <w:pPr>
              <w:widowControl/>
              <w:spacing w:line="480" w:lineRule="auto"/>
              <w:jc w:val="center"/>
              <w:rPr>
                <w:rFonts w:ascii="仿宋" w:hAnsi="仿宋" w:eastAsia="仿宋" w:cs="宋体"/>
                <w:kern w:val="0"/>
                <w:sz w:val="24"/>
              </w:rPr>
            </w:pPr>
            <w:r>
              <w:rPr>
                <w:rFonts w:hint="eastAsia" w:ascii="仿宋" w:hAnsi="仿宋" w:eastAsia="仿宋" w:cs="宋体"/>
                <w:kern w:val="0"/>
                <w:sz w:val="24"/>
              </w:rPr>
              <w:t>年度目标2</w:t>
            </w:r>
          </w:p>
        </w:tc>
        <w:tc>
          <w:tcPr>
            <w:tcW w:w="1125" w:type="dxa"/>
            <w:vAlign w:val="center"/>
          </w:tcPr>
          <w:p>
            <w:pPr>
              <w:widowControl/>
              <w:spacing w:line="480" w:lineRule="auto"/>
              <w:jc w:val="center"/>
              <w:rPr>
                <w:rFonts w:hint="eastAsia" w:ascii="仿宋" w:hAnsi="仿宋" w:eastAsia="仿宋" w:cs="宋体"/>
                <w:kern w:val="0"/>
                <w:sz w:val="24"/>
              </w:rPr>
            </w:pPr>
            <w:r>
              <w:rPr>
                <w:rFonts w:hint="eastAsia" w:ascii="仿宋" w:hAnsi="仿宋" w:eastAsia="仿宋" w:cs="宋体"/>
                <w:kern w:val="0"/>
                <w:sz w:val="24"/>
              </w:rPr>
              <w:t>23%</w:t>
            </w:r>
          </w:p>
        </w:tc>
        <w:tc>
          <w:tcPr>
            <w:tcW w:w="1397" w:type="dxa"/>
            <w:vAlign w:val="center"/>
          </w:tcPr>
          <w:p>
            <w:pPr>
              <w:widowControl/>
              <w:spacing w:line="480" w:lineRule="auto"/>
              <w:jc w:val="center"/>
              <w:rPr>
                <w:rFonts w:ascii="仿宋" w:hAnsi="仿宋" w:eastAsia="仿宋" w:cs="宋体"/>
                <w:kern w:val="0"/>
                <w:sz w:val="24"/>
              </w:rPr>
            </w:pPr>
            <w:r>
              <w:rPr>
                <w:rFonts w:hint="eastAsia" w:ascii="仿宋" w:hAnsi="仿宋" w:eastAsia="仿宋" w:cs="宋体"/>
                <w:kern w:val="0"/>
                <w:sz w:val="24"/>
              </w:rPr>
              <w:t>23</w:t>
            </w:r>
          </w:p>
        </w:tc>
        <w:tc>
          <w:tcPr>
            <w:tcW w:w="1399" w:type="dxa"/>
            <w:vAlign w:val="center"/>
          </w:tcPr>
          <w:p>
            <w:pPr>
              <w:widowControl/>
              <w:spacing w:line="480" w:lineRule="auto"/>
              <w:jc w:val="center"/>
              <w:rPr>
                <w:rFonts w:ascii="仿宋" w:hAnsi="仿宋" w:eastAsia="仿宋" w:cs="宋体"/>
                <w:kern w:val="0"/>
                <w:sz w:val="24"/>
              </w:rPr>
            </w:pPr>
            <w:r>
              <w:rPr>
                <w:rFonts w:hint="eastAsia" w:ascii="仿宋" w:hAnsi="仿宋" w:eastAsia="仿宋" w:cs="宋体"/>
                <w:kern w:val="0"/>
                <w:sz w:val="24"/>
              </w:rPr>
              <w:t xml:space="preserve">21.43 </w:t>
            </w:r>
          </w:p>
        </w:tc>
        <w:tc>
          <w:tcPr>
            <w:tcW w:w="1399" w:type="dxa"/>
            <w:vAlign w:val="center"/>
          </w:tcPr>
          <w:p>
            <w:pPr>
              <w:widowControl/>
              <w:spacing w:line="480" w:lineRule="auto"/>
              <w:jc w:val="center"/>
              <w:rPr>
                <w:rFonts w:hint="eastAsia" w:ascii="仿宋" w:hAnsi="仿宋" w:eastAsia="仿宋" w:cs="宋体"/>
                <w:kern w:val="0"/>
                <w:sz w:val="24"/>
              </w:rPr>
            </w:pPr>
            <w:r>
              <w:rPr>
                <w:rFonts w:ascii="仿宋" w:hAnsi="仿宋" w:eastAsia="仿宋" w:cs="宋体"/>
                <w:kern w:val="0"/>
                <w:sz w:val="24"/>
              </w:rPr>
              <w:t>9</w:t>
            </w:r>
            <w:r>
              <w:rPr>
                <w:rFonts w:hint="eastAsia" w:ascii="仿宋" w:hAnsi="仿宋" w:eastAsia="仿宋" w:cs="宋体"/>
                <w:kern w:val="0"/>
                <w:sz w:val="24"/>
              </w:rPr>
              <w:t>3</w:t>
            </w:r>
            <w:r>
              <w:rPr>
                <w:rFonts w:ascii="仿宋" w:hAnsi="仿宋" w:eastAsia="仿宋" w:cs="宋体"/>
                <w:kern w:val="0"/>
                <w:sz w:val="24"/>
              </w:rPr>
              <w:t>.</w:t>
            </w:r>
            <w:r>
              <w:rPr>
                <w:rFonts w:hint="eastAsia" w:ascii="仿宋" w:hAnsi="仿宋" w:eastAsia="仿宋" w:cs="宋体"/>
                <w:kern w:val="0"/>
                <w:sz w:val="24"/>
              </w:rPr>
              <w:t>17%</w:t>
            </w:r>
          </w:p>
        </w:tc>
        <w:tc>
          <w:tcPr>
            <w:tcW w:w="1625" w:type="dxa"/>
            <w:vAlign w:val="top"/>
          </w:tcPr>
          <w:p>
            <w:pPr>
              <w:widowControl/>
              <w:spacing w:line="480" w:lineRule="auto"/>
              <w:jc w:val="center"/>
              <w:rPr>
                <w:rFonts w:ascii="仿宋" w:hAnsi="仿宋" w:eastAsia="仿宋" w:cs="宋体"/>
                <w:kern w:val="0"/>
                <w:sz w:val="24"/>
              </w:rPr>
            </w:pPr>
            <w:r>
              <w:rPr>
                <w:rFonts w:hint="eastAsia" w:ascii="仿宋" w:hAnsi="仿宋" w:eastAsia="仿宋" w:cs="宋体"/>
                <w:kern w:val="0"/>
                <w:sz w:val="24"/>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24" w:hRule="atLeast"/>
        </w:trPr>
        <w:tc>
          <w:tcPr>
            <w:tcW w:w="1668" w:type="dxa"/>
            <w:vAlign w:val="top"/>
          </w:tcPr>
          <w:p>
            <w:pPr>
              <w:widowControl/>
              <w:spacing w:line="480" w:lineRule="auto"/>
              <w:jc w:val="center"/>
              <w:rPr>
                <w:rFonts w:ascii="仿宋" w:hAnsi="仿宋" w:eastAsia="仿宋" w:cs="宋体"/>
                <w:kern w:val="0"/>
                <w:sz w:val="24"/>
              </w:rPr>
            </w:pPr>
            <w:r>
              <w:rPr>
                <w:rFonts w:hint="eastAsia" w:ascii="仿宋" w:hAnsi="仿宋" w:eastAsia="仿宋" w:cs="宋体"/>
                <w:kern w:val="0"/>
                <w:sz w:val="24"/>
              </w:rPr>
              <w:t>年度目标3</w:t>
            </w:r>
          </w:p>
        </w:tc>
        <w:tc>
          <w:tcPr>
            <w:tcW w:w="1125" w:type="dxa"/>
            <w:vAlign w:val="center"/>
          </w:tcPr>
          <w:p>
            <w:pPr>
              <w:widowControl/>
              <w:spacing w:line="480" w:lineRule="auto"/>
              <w:jc w:val="center"/>
              <w:rPr>
                <w:rFonts w:ascii="仿宋" w:hAnsi="仿宋" w:eastAsia="仿宋" w:cs="宋体"/>
                <w:kern w:val="0"/>
                <w:sz w:val="24"/>
              </w:rPr>
            </w:pPr>
            <w:r>
              <w:rPr>
                <w:rFonts w:hint="eastAsia" w:ascii="仿宋" w:hAnsi="仿宋" w:eastAsia="仿宋" w:cs="宋体"/>
                <w:kern w:val="0"/>
                <w:sz w:val="24"/>
              </w:rPr>
              <w:t>12%</w:t>
            </w:r>
          </w:p>
        </w:tc>
        <w:tc>
          <w:tcPr>
            <w:tcW w:w="1397" w:type="dxa"/>
            <w:vAlign w:val="center"/>
          </w:tcPr>
          <w:p>
            <w:pPr>
              <w:widowControl/>
              <w:spacing w:line="480" w:lineRule="auto"/>
              <w:jc w:val="center"/>
              <w:rPr>
                <w:rFonts w:ascii="仿宋" w:hAnsi="仿宋" w:eastAsia="仿宋" w:cs="宋体"/>
                <w:kern w:val="0"/>
                <w:sz w:val="24"/>
              </w:rPr>
            </w:pPr>
            <w:r>
              <w:rPr>
                <w:rFonts w:hint="eastAsia" w:ascii="仿宋" w:hAnsi="仿宋" w:eastAsia="仿宋" w:cs="宋体"/>
                <w:kern w:val="0"/>
                <w:sz w:val="24"/>
              </w:rPr>
              <w:t>12</w:t>
            </w:r>
          </w:p>
        </w:tc>
        <w:tc>
          <w:tcPr>
            <w:tcW w:w="1399" w:type="dxa"/>
            <w:vAlign w:val="center"/>
          </w:tcPr>
          <w:p>
            <w:pPr>
              <w:widowControl/>
              <w:spacing w:line="480" w:lineRule="auto"/>
              <w:jc w:val="center"/>
              <w:rPr>
                <w:rFonts w:ascii="仿宋" w:hAnsi="仿宋" w:eastAsia="仿宋" w:cs="宋体"/>
                <w:kern w:val="0"/>
                <w:sz w:val="24"/>
              </w:rPr>
            </w:pPr>
            <w:r>
              <w:rPr>
                <w:rFonts w:hint="eastAsia" w:ascii="仿宋" w:hAnsi="仿宋" w:eastAsia="仿宋" w:cs="宋体"/>
                <w:kern w:val="0"/>
                <w:sz w:val="24"/>
              </w:rPr>
              <w:t xml:space="preserve">10.54 </w:t>
            </w:r>
          </w:p>
        </w:tc>
        <w:tc>
          <w:tcPr>
            <w:tcW w:w="1399" w:type="dxa"/>
            <w:vAlign w:val="center"/>
          </w:tcPr>
          <w:p>
            <w:pPr>
              <w:widowControl/>
              <w:spacing w:line="480" w:lineRule="auto"/>
              <w:jc w:val="center"/>
              <w:rPr>
                <w:rFonts w:ascii="仿宋" w:hAnsi="仿宋" w:eastAsia="仿宋" w:cs="宋体"/>
                <w:kern w:val="0"/>
                <w:sz w:val="24"/>
              </w:rPr>
            </w:pPr>
            <w:r>
              <w:rPr>
                <w:rFonts w:hint="eastAsia" w:ascii="仿宋" w:hAnsi="仿宋" w:eastAsia="仿宋" w:cs="宋体"/>
                <w:kern w:val="0"/>
                <w:sz w:val="24"/>
              </w:rPr>
              <w:t>87.84%</w:t>
            </w:r>
          </w:p>
        </w:tc>
        <w:tc>
          <w:tcPr>
            <w:tcW w:w="1625" w:type="dxa"/>
            <w:vAlign w:val="center"/>
          </w:tcPr>
          <w:p>
            <w:pPr>
              <w:widowControl/>
              <w:spacing w:line="480" w:lineRule="auto"/>
              <w:jc w:val="center"/>
              <w:rPr>
                <w:rFonts w:ascii="仿宋" w:hAnsi="仿宋" w:eastAsia="仿宋" w:cs="宋体"/>
                <w:kern w:val="0"/>
                <w:sz w:val="24"/>
              </w:rPr>
            </w:pPr>
            <w:r>
              <w:rPr>
                <w:rFonts w:hint="eastAsia" w:ascii="仿宋" w:hAnsi="仿宋" w:eastAsia="仿宋" w:cs="宋体"/>
                <w:kern w:val="0"/>
                <w:sz w:val="24"/>
              </w:rPr>
              <w:t>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24" w:hRule="atLeast"/>
        </w:trPr>
        <w:tc>
          <w:tcPr>
            <w:tcW w:w="1668" w:type="dxa"/>
            <w:vAlign w:val="top"/>
          </w:tcPr>
          <w:p>
            <w:pPr>
              <w:widowControl/>
              <w:spacing w:line="480" w:lineRule="auto"/>
              <w:jc w:val="center"/>
              <w:rPr>
                <w:rFonts w:ascii="仿宋" w:hAnsi="仿宋" w:eastAsia="仿宋" w:cs="宋体"/>
                <w:kern w:val="0"/>
                <w:sz w:val="24"/>
              </w:rPr>
            </w:pPr>
            <w:r>
              <w:rPr>
                <w:rFonts w:hint="eastAsia" w:ascii="仿宋" w:hAnsi="仿宋" w:eastAsia="仿宋" w:cs="宋体"/>
                <w:kern w:val="0"/>
                <w:sz w:val="24"/>
              </w:rPr>
              <w:t>年度目标4</w:t>
            </w:r>
          </w:p>
        </w:tc>
        <w:tc>
          <w:tcPr>
            <w:tcW w:w="1125" w:type="dxa"/>
            <w:vAlign w:val="center"/>
          </w:tcPr>
          <w:p>
            <w:pPr>
              <w:widowControl/>
              <w:spacing w:line="480" w:lineRule="auto"/>
              <w:jc w:val="center"/>
              <w:rPr>
                <w:rFonts w:ascii="仿宋" w:hAnsi="仿宋" w:eastAsia="仿宋" w:cs="宋体"/>
                <w:kern w:val="0"/>
                <w:sz w:val="24"/>
              </w:rPr>
            </w:pPr>
            <w:r>
              <w:rPr>
                <w:rFonts w:hint="eastAsia" w:ascii="仿宋" w:hAnsi="仿宋" w:eastAsia="仿宋" w:cs="宋体"/>
                <w:kern w:val="0"/>
                <w:sz w:val="24"/>
              </w:rPr>
              <w:t>18%</w:t>
            </w:r>
          </w:p>
        </w:tc>
        <w:tc>
          <w:tcPr>
            <w:tcW w:w="1397" w:type="dxa"/>
            <w:vAlign w:val="center"/>
          </w:tcPr>
          <w:p>
            <w:pPr>
              <w:widowControl/>
              <w:spacing w:line="480" w:lineRule="auto"/>
              <w:jc w:val="center"/>
              <w:rPr>
                <w:rFonts w:ascii="仿宋" w:hAnsi="仿宋" w:eastAsia="仿宋" w:cs="宋体"/>
                <w:kern w:val="0"/>
                <w:sz w:val="24"/>
              </w:rPr>
            </w:pPr>
            <w:r>
              <w:rPr>
                <w:rFonts w:hint="eastAsia" w:ascii="仿宋" w:hAnsi="仿宋" w:eastAsia="仿宋" w:cs="宋体"/>
                <w:kern w:val="0"/>
                <w:sz w:val="24"/>
              </w:rPr>
              <w:t>18</w:t>
            </w:r>
          </w:p>
        </w:tc>
        <w:tc>
          <w:tcPr>
            <w:tcW w:w="1399" w:type="dxa"/>
            <w:vAlign w:val="center"/>
          </w:tcPr>
          <w:p>
            <w:pPr>
              <w:widowControl/>
              <w:spacing w:line="480" w:lineRule="auto"/>
              <w:jc w:val="center"/>
              <w:rPr>
                <w:rFonts w:ascii="仿宋" w:hAnsi="仿宋" w:eastAsia="仿宋" w:cs="宋体"/>
                <w:kern w:val="0"/>
                <w:sz w:val="24"/>
              </w:rPr>
            </w:pPr>
            <w:r>
              <w:rPr>
                <w:rFonts w:hint="eastAsia" w:ascii="仿宋" w:hAnsi="仿宋" w:eastAsia="仿宋" w:cs="宋体"/>
                <w:kern w:val="0"/>
                <w:sz w:val="24"/>
              </w:rPr>
              <w:t>17.6</w:t>
            </w:r>
          </w:p>
        </w:tc>
        <w:tc>
          <w:tcPr>
            <w:tcW w:w="1399" w:type="dxa"/>
            <w:vAlign w:val="center"/>
          </w:tcPr>
          <w:p>
            <w:pPr>
              <w:widowControl/>
              <w:spacing w:line="480" w:lineRule="auto"/>
              <w:jc w:val="center"/>
              <w:rPr>
                <w:rFonts w:ascii="仿宋" w:hAnsi="仿宋" w:eastAsia="仿宋" w:cs="宋体"/>
                <w:kern w:val="0"/>
                <w:sz w:val="24"/>
              </w:rPr>
            </w:pPr>
            <w:r>
              <w:rPr>
                <w:rFonts w:hint="eastAsia" w:ascii="仿宋" w:hAnsi="仿宋" w:eastAsia="仿宋" w:cs="宋体"/>
                <w:kern w:val="0"/>
                <w:sz w:val="24"/>
              </w:rPr>
              <w:t>97.78%</w:t>
            </w:r>
          </w:p>
        </w:tc>
        <w:tc>
          <w:tcPr>
            <w:tcW w:w="1625" w:type="dxa"/>
            <w:vAlign w:val="center"/>
          </w:tcPr>
          <w:p>
            <w:pPr>
              <w:widowControl/>
              <w:spacing w:line="480" w:lineRule="auto"/>
              <w:jc w:val="center"/>
              <w:rPr>
                <w:rFonts w:ascii="仿宋" w:hAnsi="仿宋" w:eastAsia="仿宋" w:cs="宋体"/>
                <w:kern w:val="0"/>
                <w:sz w:val="24"/>
              </w:rPr>
            </w:pPr>
            <w:r>
              <w:rPr>
                <w:rFonts w:hint="eastAsia" w:ascii="仿宋" w:hAnsi="仿宋" w:eastAsia="仿宋" w:cs="宋体"/>
                <w:kern w:val="0"/>
                <w:sz w:val="24"/>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24" w:hRule="atLeast"/>
        </w:trPr>
        <w:tc>
          <w:tcPr>
            <w:tcW w:w="1668" w:type="dxa"/>
            <w:vAlign w:val="center"/>
          </w:tcPr>
          <w:p>
            <w:pPr>
              <w:widowControl/>
              <w:spacing w:line="480" w:lineRule="auto"/>
              <w:jc w:val="center"/>
              <w:rPr>
                <w:rFonts w:ascii="仿宋" w:hAnsi="仿宋" w:eastAsia="仿宋" w:cs="宋体"/>
                <w:kern w:val="0"/>
                <w:sz w:val="24"/>
              </w:rPr>
            </w:pPr>
            <w:r>
              <w:rPr>
                <w:rFonts w:hint="eastAsia" w:ascii="仿宋" w:hAnsi="仿宋" w:eastAsia="仿宋" w:cs="宋体"/>
                <w:kern w:val="0"/>
                <w:sz w:val="24"/>
              </w:rPr>
              <w:t>约束性指标</w:t>
            </w:r>
          </w:p>
        </w:tc>
        <w:tc>
          <w:tcPr>
            <w:tcW w:w="1125" w:type="dxa"/>
            <w:vAlign w:val="center"/>
          </w:tcPr>
          <w:p>
            <w:pPr>
              <w:widowControl/>
              <w:spacing w:line="480" w:lineRule="auto"/>
              <w:jc w:val="center"/>
              <w:rPr>
                <w:rFonts w:ascii="仿宋" w:hAnsi="仿宋" w:eastAsia="仿宋" w:cs="宋体"/>
                <w:kern w:val="0"/>
                <w:sz w:val="24"/>
              </w:rPr>
            </w:pPr>
          </w:p>
        </w:tc>
        <w:tc>
          <w:tcPr>
            <w:tcW w:w="1397" w:type="dxa"/>
            <w:vAlign w:val="center"/>
          </w:tcPr>
          <w:p>
            <w:pPr>
              <w:widowControl/>
              <w:spacing w:line="480" w:lineRule="auto"/>
              <w:jc w:val="center"/>
              <w:rPr>
                <w:rFonts w:ascii="仿宋" w:hAnsi="仿宋" w:eastAsia="仿宋" w:cs="宋体"/>
                <w:kern w:val="0"/>
                <w:sz w:val="24"/>
              </w:rPr>
            </w:pPr>
          </w:p>
        </w:tc>
        <w:tc>
          <w:tcPr>
            <w:tcW w:w="1399" w:type="dxa"/>
            <w:vAlign w:val="top"/>
          </w:tcPr>
          <w:p>
            <w:pPr>
              <w:widowControl/>
              <w:spacing w:line="480" w:lineRule="auto"/>
              <w:jc w:val="center"/>
              <w:rPr>
                <w:rFonts w:ascii="仿宋" w:hAnsi="仿宋" w:eastAsia="仿宋" w:cs="宋体"/>
                <w:kern w:val="0"/>
                <w:sz w:val="24"/>
              </w:rPr>
            </w:pPr>
            <w:r>
              <w:rPr>
                <w:rFonts w:hint="eastAsia" w:ascii="仿宋" w:hAnsi="仿宋" w:eastAsia="仿宋" w:cs="宋体"/>
                <w:kern w:val="0"/>
                <w:sz w:val="24"/>
              </w:rPr>
              <w:t>0</w:t>
            </w:r>
          </w:p>
        </w:tc>
        <w:tc>
          <w:tcPr>
            <w:tcW w:w="1399" w:type="dxa"/>
            <w:vAlign w:val="center"/>
          </w:tcPr>
          <w:p>
            <w:pPr>
              <w:widowControl/>
              <w:spacing w:line="480" w:lineRule="auto"/>
              <w:jc w:val="center"/>
              <w:rPr>
                <w:rFonts w:ascii="仿宋" w:hAnsi="仿宋" w:eastAsia="仿宋" w:cs="宋体"/>
                <w:kern w:val="0"/>
                <w:sz w:val="24"/>
              </w:rPr>
            </w:pPr>
          </w:p>
        </w:tc>
        <w:tc>
          <w:tcPr>
            <w:tcW w:w="1625" w:type="dxa"/>
            <w:vAlign w:val="center"/>
          </w:tcPr>
          <w:p>
            <w:pPr>
              <w:widowControl/>
              <w:spacing w:line="480" w:lineRule="auto"/>
              <w:jc w:val="center"/>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24" w:hRule="atLeast"/>
        </w:trPr>
        <w:tc>
          <w:tcPr>
            <w:tcW w:w="1668" w:type="dxa"/>
            <w:vAlign w:val="center"/>
          </w:tcPr>
          <w:p>
            <w:pPr>
              <w:widowControl/>
              <w:spacing w:line="480" w:lineRule="auto"/>
              <w:jc w:val="center"/>
              <w:rPr>
                <w:rFonts w:ascii="仿宋" w:hAnsi="仿宋" w:eastAsia="仿宋" w:cs="宋体"/>
                <w:kern w:val="0"/>
                <w:sz w:val="24"/>
              </w:rPr>
            </w:pPr>
            <w:r>
              <w:rPr>
                <w:rFonts w:hint="eastAsia" w:ascii="仿宋" w:hAnsi="仿宋" w:eastAsia="仿宋" w:cs="宋体"/>
                <w:kern w:val="0"/>
                <w:sz w:val="24"/>
              </w:rPr>
              <w:t>综合绩效</w:t>
            </w:r>
          </w:p>
        </w:tc>
        <w:tc>
          <w:tcPr>
            <w:tcW w:w="1125" w:type="dxa"/>
            <w:vAlign w:val="center"/>
          </w:tcPr>
          <w:p>
            <w:pPr>
              <w:widowControl/>
              <w:spacing w:line="480" w:lineRule="auto"/>
              <w:jc w:val="center"/>
              <w:rPr>
                <w:rFonts w:ascii="仿宋" w:hAnsi="仿宋" w:eastAsia="仿宋" w:cs="宋体"/>
                <w:kern w:val="0"/>
                <w:sz w:val="24"/>
              </w:rPr>
            </w:pPr>
            <w:r>
              <w:rPr>
                <w:rFonts w:hint="eastAsia" w:ascii="仿宋" w:hAnsi="仿宋" w:eastAsia="仿宋" w:cs="宋体"/>
                <w:kern w:val="0"/>
                <w:sz w:val="24"/>
              </w:rPr>
              <w:t>100%</w:t>
            </w:r>
          </w:p>
        </w:tc>
        <w:tc>
          <w:tcPr>
            <w:tcW w:w="1397" w:type="dxa"/>
            <w:vAlign w:val="center"/>
          </w:tcPr>
          <w:p>
            <w:pPr>
              <w:widowControl/>
              <w:spacing w:line="480" w:lineRule="auto"/>
              <w:jc w:val="center"/>
              <w:rPr>
                <w:rFonts w:ascii="仿宋" w:hAnsi="仿宋" w:eastAsia="仿宋" w:cs="宋体"/>
                <w:kern w:val="0"/>
                <w:sz w:val="24"/>
              </w:rPr>
            </w:pPr>
            <w:r>
              <w:rPr>
                <w:rFonts w:hint="eastAsia" w:ascii="仿宋" w:hAnsi="仿宋" w:eastAsia="仿宋" w:cs="宋体"/>
                <w:kern w:val="0"/>
                <w:sz w:val="24"/>
              </w:rPr>
              <w:t>100</w:t>
            </w:r>
          </w:p>
        </w:tc>
        <w:tc>
          <w:tcPr>
            <w:tcW w:w="1399" w:type="dxa"/>
            <w:vAlign w:val="top"/>
          </w:tcPr>
          <w:p>
            <w:pPr>
              <w:widowControl/>
              <w:spacing w:line="480" w:lineRule="auto"/>
              <w:jc w:val="center"/>
              <w:rPr>
                <w:rFonts w:ascii="仿宋" w:hAnsi="仿宋" w:eastAsia="仿宋" w:cs="宋体"/>
                <w:kern w:val="0"/>
                <w:sz w:val="24"/>
              </w:rPr>
            </w:pPr>
            <w:r>
              <w:rPr>
                <w:rFonts w:ascii="仿宋" w:hAnsi="仿宋" w:eastAsia="仿宋" w:cs="宋体"/>
                <w:kern w:val="0"/>
                <w:sz w:val="24"/>
              </w:rPr>
              <w:t>9</w:t>
            </w:r>
            <w:r>
              <w:rPr>
                <w:rFonts w:hint="eastAsia" w:ascii="仿宋" w:hAnsi="仿宋" w:eastAsia="仿宋" w:cs="宋体"/>
                <w:kern w:val="0"/>
                <w:sz w:val="24"/>
              </w:rPr>
              <w:t>4.24</w:t>
            </w:r>
          </w:p>
        </w:tc>
        <w:tc>
          <w:tcPr>
            <w:tcW w:w="1399" w:type="dxa"/>
            <w:vAlign w:val="center"/>
          </w:tcPr>
          <w:p>
            <w:pPr>
              <w:widowControl/>
              <w:spacing w:line="480" w:lineRule="auto"/>
              <w:jc w:val="center"/>
              <w:rPr>
                <w:rFonts w:ascii="仿宋" w:hAnsi="仿宋" w:eastAsia="仿宋" w:cs="宋体"/>
                <w:kern w:val="0"/>
                <w:sz w:val="24"/>
              </w:rPr>
            </w:pPr>
            <w:r>
              <w:rPr>
                <w:rFonts w:ascii="仿宋" w:hAnsi="仿宋" w:eastAsia="仿宋" w:cs="宋体"/>
                <w:kern w:val="0"/>
                <w:sz w:val="24"/>
              </w:rPr>
              <w:t>9</w:t>
            </w:r>
            <w:r>
              <w:rPr>
                <w:rFonts w:hint="eastAsia" w:ascii="仿宋" w:hAnsi="仿宋" w:eastAsia="仿宋" w:cs="宋体"/>
                <w:kern w:val="0"/>
                <w:sz w:val="24"/>
              </w:rPr>
              <w:t>4.24%</w:t>
            </w:r>
          </w:p>
        </w:tc>
        <w:tc>
          <w:tcPr>
            <w:tcW w:w="1625" w:type="dxa"/>
            <w:vAlign w:val="center"/>
          </w:tcPr>
          <w:p>
            <w:pPr>
              <w:widowControl/>
              <w:spacing w:line="480" w:lineRule="auto"/>
              <w:jc w:val="center"/>
              <w:rPr>
                <w:rFonts w:ascii="仿宋" w:hAnsi="仿宋" w:eastAsia="仿宋" w:cs="宋体"/>
                <w:kern w:val="0"/>
                <w:sz w:val="24"/>
              </w:rPr>
            </w:pPr>
            <w:r>
              <w:rPr>
                <w:rFonts w:hint="eastAsia" w:ascii="仿宋" w:hAnsi="仿宋" w:eastAsia="仿宋" w:cs="宋体"/>
                <w:kern w:val="0"/>
                <w:sz w:val="24"/>
              </w:rPr>
              <w:t>优</w:t>
            </w:r>
          </w:p>
        </w:tc>
      </w:tr>
    </w:tbl>
    <w:p>
      <w:pPr>
        <w:widowControl w:val="0"/>
        <w:wordWrap/>
        <w:adjustRightInd/>
        <w:snapToGrid/>
        <w:spacing w:line="520" w:lineRule="exact"/>
        <w:ind w:left="0" w:leftChars="0" w:right="0" w:firstLine="640" w:firstLineChars="200"/>
        <w:jc w:val="both"/>
        <w:textAlignment w:val="auto"/>
        <w:outlineLvl w:val="9"/>
        <w:rPr>
          <w:rFonts w:ascii="仿宋" w:hAnsi="仿宋" w:eastAsia="仿宋" w:cs="仿宋"/>
          <w:sz w:val="32"/>
          <w:szCs w:val="32"/>
        </w:rPr>
      </w:pPr>
      <w:r>
        <w:rPr>
          <w:rFonts w:hint="eastAsia" w:ascii="仿宋" w:hAnsi="仿宋" w:eastAsia="仿宋"/>
          <w:sz w:val="32"/>
          <w:szCs w:val="32"/>
        </w:rPr>
        <w:t>从预算管理来看，湖北省政协办公厅整体支出预算执行情况良好，</w:t>
      </w:r>
      <w:r>
        <w:rPr>
          <w:rFonts w:hint="eastAsia" w:ascii="仿宋" w:hAnsi="仿宋" w:eastAsia="仿宋" w:cs="仿宋"/>
          <w:sz w:val="32"/>
          <w:szCs w:val="32"/>
        </w:rPr>
        <w:t>预算执行总额控制在年初预算批复和财政追加额度内且有结余，201</w:t>
      </w:r>
      <w:r>
        <w:rPr>
          <w:rFonts w:ascii="仿宋" w:hAnsi="仿宋" w:eastAsia="仿宋" w:cs="仿宋"/>
          <w:sz w:val="32"/>
          <w:szCs w:val="32"/>
        </w:rPr>
        <w:t>7</w:t>
      </w:r>
      <w:r>
        <w:rPr>
          <w:rFonts w:hint="eastAsia" w:ascii="仿宋" w:hAnsi="仿宋" w:eastAsia="仿宋" w:cs="仿宋"/>
          <w:sz w:val="32"/>
          <w:szCs w:val="32"/>
        </w:rPr>
        <w:t>年预算完成率</w:t>
      </w:r>
      <w:r>
        <w:rPr>
          <w:rFonts w:ascii="仿宋" w:hAnsi="仿宋" w:eastAsia="仿宋" w:cs="仿宋"/>
          <w:sz w:val="32"/>
          <w:szCs w:val="32"/>
        </w:rPr>
        <w:t>9</w:t>
      </w:r>
      <w:r>
        <w:rPr>
          <w:rFonts w:hint="eastAsia" w:ascii="仿宋" w:hAnsi="仿宋" w:eastAsia="仿宋" w:cs="仿宋"/>
          <w:sz w:val="32"/>
          <w:szCs w:val="32"/>
        </w:rPr>
        <w:t>5</w:t>
      </w:r>
      <w:r>
        <w:rPr>
          <w:rFonts w:ascii="仿宋" w:hAnsi="仿宋" w:eastAsia="仿宋" w:cs="仿宋"/>
          <w:sz w:val="32"/>
          <w:szCs w:val="32"/>
        </w:rPr>
        <w:t>.8</w:t>
      </w:r>
      <w:r>
        <w:rPr>
          <w:rFonts w:hint="eastAsia" w:ascii="仿宋" w:hAnsi="仿宋" w:eastAsia="仿宋" w:cs="仿宋"/>
          <w:sz w:val="32"/>
          <w:szCs w:val="32"/>
        </w:rPr>
        <w:t>7%。预算执行过程中</w:t>
      </w:r>
      <w:r>
        <w:rPr>
          <w:rFonts w:ascii="仿宋" w:hAnsi="仿宋" w:eastAsia="仿宋" w:cs="仿宋"/>
          <w:sz w:val="32"/>
          <w:szCs w:val="32"/>
        </w:rPr>
        <w:t>整体</w:t>
      </w:r>
      <w:r>
        <w:rPr>
          <w:rFonts w:hint="eastAsia" w:ascii="仿宋" w:hAnsi="仿宋" w:eastAsia="仿宋" w:cs="仿宋"/>
          <w:sz w:val="32"/>
          <w:szCs w:val="32"/>
        </w:rPr>
        <w:t>预算调整幅度低，控制得当。</w:t>
      </w:r>
    </w:p>
    <w:p>
      <w:pPr>
        <w:widowControl w:val="0"/>
        <w:tabs>
          <w:tab w:val="left" w:pos="8505"/>
        </w:tabs>
        <w:wordWrap/>
        <w:adjustRightInd/>
        <w:snapToGrid/>
        <w:spacing w:line="520" w:lineRule="exact"/>
        <w:ind w:left="0" w:leftChars="0" w:right="0" w:firstLine="640" w:firstLineChars="200"/>
        <w:jc w:val="both"/>
        <w:textAlignment w:val="auto"/>
        <w:outlineLvl w:val="9"/>
        <w:rPr>
          <w:rFonts w:ascii="仿宋" w:hAnsi="仿宋" w:eastAsia="仿宋" w:cs="仿宋"/>
          <w:sz w:val="32"/>
          <w:szCs w:val="32"/>
        </w:rPr>
      </w:pPr>
      <w:r>
        <w:rPr>
          <w:rFonts w:hint="eastAsia" w:ascii="仿宋" w:hAnsi="仿宋" w:eastAsia="仿宋"/>
          <w:sz w:val="32"/>
          <w:szCs w:val="32"/>
        </w:rPr>
        <w:t>从产出来看，圆满召开各类会议</w:t>
      </w:r>
      <w:r>
        <w:rPr>
          <w:rFonts w:hint="eastAsia" w:ascii="仿宋" w:hAnsi="仿宋" w:eastAsia="仿宋" w:cs="仿宋"/>
          <w:sz w:val="32"/>
          <w:szCs w:val="32"/>
        </w:rPr>
        <w:t>;围绕省委省政府重大方针政策的贯彻落实，群众关心热点难点问题的解决，重大项目的建设，组织委员</w:t>
      </w:r>
      <w:r>
        <w:rPr>
          <w:rFonts w:hint="eastAsia" w:ascii="仿宋" w:hAnsi="仿宋" w:eastAsia="仿宋" w:cs="仿宋"/>
          <w:sz w:val="32"/>
          <w:szCs w:val="32"/>
          <w:lang w:eastAsia="zh-CN"/>
        </w:rPr>
        <w:t>开展</w:t>
      </w:r>
      <w:r>
        <w:rPr>
          <w:rFonts w:hint="eastAsia" w:ascii="仿宋" w:hAnsi="仿宋" w:eastAsia="仿宋" w:cs="仿宋"/>
          <w:sz w:val="32"/>
          <w:szCs w:val="32"/>
        </w:rPr>
        <w:t>视察</w:t>
      </w:r>
      <w:r>
        <w:rPr>
          <w:rFonts w:hint="eastAsia" w:ascii="仿宋" w:hAnsi="仿宋" w:eastAsia="仿宋" w:cs="仿宋"/>
          <w:sz w:val="32"/>
          <w:szCs w:val="32"/>
          <w:lang w:eastAsia="zh-CN"/>
        </w:rPr>
        <w:t>工作</w:t>
      </w:r>
      <w:r>
        <w:rPr>
          <w:rFonts w:hint="eastAsia" w:ascii="仿宋" w:hAnsi="仿宋" w:eastAsia="仿宋" w:cs="仿宋"/>
          <w:sz w:val="32"/>
          <w:szCs w:val="32"/>
        </w:rPr>
        <w:t>;</w:t>
      </w:r>
      <w:r>
        <w:rPr>
          <w:rFonts w:hint="eastAsia"/>
        </w:rPr>
        <w:t xml:space="preserve"> </w:t>
      </w:r>
      <w:r>
        <w:rPr>
          <w:rFonts w:hint="eastAsia" w:ascii="仿宋" w:hAnsi="仿宋" w:eastAsia="仿宋" w:cs="仿宋"/>
          <w:sz w:val="32"/>
          <w:szCs w:val="32"/>
        </w:rPr>
        <w:t>选择经济社会发展中具有综合性、全局性、前瞻性的重要问题，组织调查和研究</w:t>
      </w:r>
      <w:r>
        <w:rPr>
          <w:rFonts w:hint="eastAsia" w:ascii="仿宋" w:hAnsi="仿宋" w:eastAsia="仿宋" w:cs="仿宋"/>
          <w:sz w:val="32"/>
          <w:szCs w:val="32"/>
          <w:lang w:eastAsia="zh-CN"/>
        </w:rPr>
        <w:t>；</w:t>
      </w:r>
      <w:r>
        <w:rPr>
          <w:rFonts w:hint="eastAsia" w:ascii="仿宋" w:hAnsi="仿宋" w:eastAsia="仿宋" w:cs="仿宋"/>
          <w:sz w:val="32"/>
          <w:szCs w:val="32"/>
        </w:rPr>
        <w:t>积极主动向党政机关领导提出建设性的意见；做好省政协委员视察、调研、考察、提案办理协商等日常活动的联络、服务和具体工作; 做好省政协履职的对内对外宣传、委员学习培训工作;各项产出指标均完成或超额完成。</w:t>
      </w:r>
    </w:p>
    <w:p>
      <w:pPr>
        <w:widowControl w:val="0"/>
        <w:wordWrap/>
        <w:adjustRightInd/>
        <w:snapToGrid/>
        <w:spacing w:line="520" w:lineRule="exact"/>
        <w:ind w:left="0" w:leftChars="0" w:right="0" w:firstLine="640" w:firstLineChars="200"/>
        <w:jc w:val="both"/>
        <w:textAlignment w:val="auto"/>
        <w:outlineLvl w:val="9"/>
        <w:rPr>
          <w:rFonts w:ascii="仿宋" w:hAnsi="仿宋" w:eastAsia="仿宋" w:cs="仿宋"/>
          <w:sz w:val="32"/>
          <w:szCs w:val="32"/>
        </w:rPr>
      </w:pPr>
      <w:r>
        <w:rPr>
          <w:rFonts w:hint="eastAsia" w:ascii="仿宋" w:hAnsi="仿宋" w:eastAsia="仿宋" w:cs="仿宋"/>
          <w:sz w:val="32"/>
          <w:szCs w:val="32"/>
        </w:rPr>
        <w:t>从效果来看，湖北省政协办公厅部门整体支出效果满意度高，省政协及其常委会认真贯彻中共中央和中共湖北省委的部署要求，高举爱国主义、社会主义旗帜，坚持团结和民主两大主题，坚持维护核心、围绕中心、凝聚人心，坚持省委、省政府的工作推进到哪里，省政协的工作就跟进到哪里，构建省委、省政府、省政协领导督办、领办提案工作机制，打造月度协商座谈会品牌，经中共湖北省委批准在各专门委员会设立分党组，思想政治建设取得新成效，服务改革发展取得新成绩，推进协商民主建设取得新进展，自身建设取得新突破，为我省经济社会发展和社会主义民主政治建设作出了重要贡献，取得了较高的经济社会效益。</w:t>
      </w:r>
    </w:p>
    <w:p>
      <w:pPr>
        <w:widowControl w:val="0"/>
        <w:wordWrap/>
        <w:adjustRightInd/>
        <w:snapToGrid/>
        <w:spacing w:line="520" w:lineRule="exact"/>
        <w:ind w:left="0" w:leftChars="0" w:right="42" w:rightChars="20" w:firstLine="640" w:firstLineChars="200"/>
        <w:jc w:val="left"/>
        <w:textAlignment w:val="auto"/>
        <w:outlineLvl w:val="9"/>
        <w:rPr>
          <w:rFonts w:ascii="楷体" w:hAnsi="楷体" w:eastAsia="楷体"/>
          <w:b/>
          <w:sz w:val="32"/>
          <w:szCs w:val="32"/>
        </w:rPr>
      </w:pPr>
      <w:r>
        <w:rPr>
          <w:rFonts w:hint="eastAsia" w:ascii="楷体" w:hAnsi="楷体" w:eastAsia="楷体"/>
          <w:b/>
          <w:sz w:val="32"/>
          <w:szCs w:val="32"/>
        </w:rPr>
        <w:t>（二）自评结论</w:t>
      </w:r>
    </w:p>
    <w:p>
      <w:pPr>
        <w:widowControl w:val="0"/>
        <w:wordWrap/>
        <w:adjustRightInd/>
        <w:snapToGrid/>
        <w:spacing w:line="520" w:lineRule="exact"/>
        <w:ind w:left="0" w:leftChars="0" w:right="0"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本次湖北省政协办公厅整体支出绩效自评结果为“优”。</w:t>
      </w:r>
      <w:bookmarkEnd w:id="1"/>
      <w:r>
        <w:rPr>
          <w:rFonts w:ascii="仿宋" w:hAnsi="仿宋" w:eastAsia="仿宋"/>
          <w:sz w:val="32"/>
          <w:szCs w:val="32"/>
        </w:rPr>
        <w:t>从整体情况来看，严格按照年初预算进行部门整体支出。在支出过程中，能严格遵守各项规章制度。项目严格按方案组织实施，并加强了监督。实行了先有预算、后有执行、“用钱必问效、无效必问责”的新常态。</w:t>
      </w:r>
    </w:p>
    <w:p>
      <w:pPr>
        <w:widowControl w:val="0"/>
        <w:wordWrap/>
        <w:adjustRightInd/>
        <w:snapToGrid/>
        <w:spacing w:line="520" w:lineRule="exact"/>
        <w:ind w:left="0" w:leftChars="0" w:firstLine="640" w:firstLineChars="200"/>
        <w:jc w:val="left"/>
        <w:textAlignment w:val="auto"/>
        <w:outlineLvl w:val="9"/>
        <w:rPr>
          <w:rFonts w:ascii="黑体" w:hAnsi="黑体" w:eastAsia="黑体"/>
          <w:sz w:val="32"/>
          <w:szCs w:val="32"/>
        </w:rPr>
      </w:pPr>
      <w:r>
        <w:rPr>
          <w:rFonts w:hint="eastAsia" w:ascii="黑体" w:hAnsi="黑体" w:eastAsia="黑体"/>
          <w:sz w:val="32"/>
          <w:szCs w:val="32"/>
        </w:rPr>
        <w:t>二、基本情况</w:t>
      </w:r>
    </w:p>
    <w:p>
      <w:pPr>
        <w:widowControl w:val="0"/>
        <w:wordWrap/>
        <w:adjustRightInd/>
        <w:snapToGrid/>
        <w:spacing w:line="520" w:lineRule="exact"/>
        <w:ind w:left="0" w:leftChars="0" w:firstLine="640" w:firstLineChars="200"/>
        <w:jc w:val="left"/>
        <w:textAlignment w:val="auto"/>
        <w:outlineLvl w:val="9"/>
        <w:rPr>
          <w:rFonts w:ascii="楷体" w:hAnsi="楷体" w:eastAsia="楷体"/>
          <w:b/>
          <w:sz w:val="32"/>
          <w:szCs w:val="32"/>
        </w:rPr>
      </w:pPr>
      <w:r>
        <w:rPr>
          <w:rFonts w:hint="eastAsia" w:ascii="楷体" w:hAnsi="楷体" w:eastAsia="楷体"/>
          <w:b/>
          <w:sz w:val="32"/>
          <w:szCs w:val="32"/>
        </w:rPr>
        <w:t>（一）部门职能与职责</w:t>
      </w:r>
    </w:p>
    <w:p>
      <w:pPr>
        <w:widowControl w:val="0"/>
        <w:wordWrap/>
        <w:adjustRightInd/>
        <w:snapToGrid/>
        <w:spacing w:line="520" w:lineRule="exact"/>
        <w:ind w:left="0" w:leftChars="0" w:right="43"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单位主要职能：（1）负责政协湖北省委员会全体会议、常务委员会会议、主席会议、常务委员专题协商会和各类协商座谈会的会务工作；（2）组织实施政协湖北省委员会全体会议、常务委员会会议、主席会议的决议、决定；（3）负责省政协委员视察、调研、考察、提案办理协商等日常活动的联络、服务和具体实施工作；（4）调查研究统一战线和人民政协的理论、政策,调查研究市、县政协工作经验、共性问题及解决办法；（5）负责省政协工作的对内对外宣传；（6）负责收集并向省委、省政府及其有关部门反映政协委员及各界人士的意见和建议，并了解受理、批办和落实情况；（7）负责联系省政协委员、住鄂全国政协委员、省级各民主党派、人民团体和省委、省人大常委会、省政府及有关部门，互相配合、协调工作；（8）负责省政协开展活动的后勤保障工作；（9）负责权限范围内的人事任免；（10）负责省委、省政府交付的重大事项的联系和办理工作；（11）承办上级交办的其他工作事项。</w:t>
      </w:r>
    </w:p>
    <w:p>
      <w:pPr>
        <w:wordWrap/>
        <w:spacing w:line="520" w:lineRule="exact"/>
        <w:ind w:left="0" w:leftChars="0" w:right="43" w:firstLine="640" w:firstLineChars="200"/>
        <w:textAlignment w:val="auto"/>
        <w:outlineLvl w:val="9"/>
        <w:rPr>
          <w:rFonts w:ascii="仿宋" w:hAnsi="仿宋" w:eastAsia="仿宋"/>
          <w:sz w:val="32"/>
          <w:szCs w:val="32"/>
        </w:rPr>
      </w:pPr>
      <w:r>
        <w:rPr>
          <w:rFonts w:hint="eastAsia" w:ascii="楷体_GB2312" w:hAnsi="仿宋" w:eastAsia="楷体_GB2312"/>
          <w:b/>
          <w:sz w:val="32"/>
          <w:szCs w:val="32"/>
        </w:rPr>
        <w:t>（二）机构情况 </w:t>
      </w:r>
    </w:p>
    <w:p>
      <w:pPr>
        <w:wordWrap/>
        <w:spacing w:line="520" w:lineRule="exact"/>
        <w:ind w:left="0" w:leftChars="0" w:right="43"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省政协是党政机关，下设11个厅级单位，内设20个处（室、机关党委）和2个事业单位(省政协活动中心和省政协期刊网络中心)。其中，期刊网络中心为省政协2017年新增事业单位。省政协机关年度部门预算文本归口由省政协办公厅编制。</w:t>
      </w:r>
    </w:p>
    <w:p>
      <w:pPr>
        <w:pStyle w:val="4"/>
        <w:shd w:val="clear" w:color="auto" w:fill="FFFFFF"/>
        <w:wordWrap/>
        <w:adjustRightInd w:val="0"/>
        <w:snapToGrid w:val="0"/>
        <w:spacing w:beforeAutospacing="0" w:afterAutospacing="0" w:line="520" w:lineRule="exact"/>
        <w:ind w:left="0" w:leftChars="0" w:firstLine="640" w:firstLineChars="200"/>
        <w:textAlignment w:val="auto"/>
        <w:outlineLvl w:val="9"/>
        <w:rPr>
          <w:rFonts w:ascii="仿宋" w:hAnsi="仿宋" w:eastAsia="仿宋" w:cs="黑体"/>
          <w:kern w:val="2"/>
          <w:sz w:val="32"/>
          <w:szCs w:val="32"/>
        </w:rPr>
      </w:pPr>
      <w:r>
        <w:rPr>
          <w:rFonts w:hint="eastAsia" w:ascii="楷体_GB2312" w:hAnsi="仿宋" w:eastAsia="楷体_GB2312"/>
          <w:b/>
          <w:sz w:val="32"/>
          <w:szCs w:val="32"/>
        </w:rPr>
        <w:t>（三）人员情况</w:t>
      </w:r>
    </w:p>
    <w:p>
      <w:pPr>
        <w:widowControl w:val="0"/>
        <w:wordWrap/>
        <w:adjustRightInd/>
        <w:snapToGrid/>
        <w:spacing w:line="520" w:lineRule="exact"/>
        <w:ind w:left="0" w:leftChars="0" w:right="0"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截止2017年12月31日，省政协办公厅人员编制数为201人（公务员编制163人，工勤编制30人，事业编制8人）。现工资在册在职人员共194人，（省级6人、正厅级7人、副厅级16人、处级83人、其他人员82人）。离休人员10人（其中省级干部4人，厅级干部3人），退休人员95人（省级13人、厅级26人）、遗属</w:t>
      </w:r>
      <w:r>
        <w:rPr>
          <w:rFonts w:ascii="仿宋" w:hAnsi="仿宋" w:eastAsia="仿宋"/>
          <w:sz w:val="32"/>
          <w:szCs w:val="32"/>
        </w:rPr>
        <w:t>6</w:t>
      </w:r>
      <w:r>
        <w:rPr>
          <w:rFonts w:hint="eastAsia" w:ascii="仿宋" w:hAnsi="仿宋" w:eastAsia="仿宋"/>
          <w:sz w:val="32"/>
          <w:szCs w:val="32"/>
        </w:rPr>
        <w:t>人。</w:t>
      </w:r>
    </w:p>
    <w:p>
      <w:pPr>
        <w:spacing w:line="480" w:lineRule="auto"/>
        <w:ind w:right="-197" w:rightChars="-94" w:firstLine="643" w:firstLineChars="200"/>
        <w:jc w:val="left"/>
        <w:rPr>
          <w:rFonts w:hint="eastAsia" w:ascii="楷体" w:hAnsi="楷体" w:eastAsia="楷体"/>
          <w:b/>
          <w:sz w:val="32"/>
          <w:szCs w:val="32"/>
        </w:rPr>
      </w:pPr>
      <w:r>
        <w:rPr>
          <w:rFonts w:hint="eastAsia" w:ascii="楷体" w:hAnsi="楷体" w:eastAsia="楷体"/>
          <w:b/>
          <w:sz w:val="32"/>
          <w:szCs w:val="32"/>
        </w:rPr>
        <w:t>（四）部门支出情况</w:t>
      </w:r>
    </w:p>
    <w:p>
      <w:pPr>
        <w:widowControl w:val="0"/>
        <w:wordWrap/>
        <w:adjustRightInd/>
        <w:snapToGrid/>
        <w:spacing w:line="520" w:lineRule="exact"/>
        <w:ind w:left="0" w:leftChars="0" w:right="-197" w:rightChars="-94" w:firstLine="640" w:firstLineChars="200"/>
        <w:jc w:val="left"/>
        <w:textAlignment w:val="auto"/>
        <w:outlineLvl w:val="9"/>
        <w:rPr>
          <w:rFonts w:hint="eastAsia" w:ascii="楷体" w:hAnsi="楷体" w:eastAsia="楷体"/>
          <w:b/>
          <w:sz w:val="32"/>
          <w:szCs w:val="32"/>
        </w:rPr>
      </w:pPr>
      <w:r>
        <w:rPr>
          <w:rFonts w:hint="eastAsia" w:ascii="仿宋" w:hAnsi="仿宋" w:eastAsia="仿宋"/>
          <w:sz w:val="32"/>
          <w:szCs w:val="32"/>
        </w:rPr>
        <w:t>湖北省政协办公厅2017年年初预算12487.99万元（含其他收入</w:t>
      </w:r>
      <w:r>
        <w:rPr>
          <w:rFonts w:ascii="仿宋" w:hAnsi="仿宋" w:eastAsia="仿宋"/>
          <w:sz w:val="32"/>
          <w:szCs w:val="32"/>
        </w:rPr>
        <w:t>31</w:t>
      </w:r>
      <w:r>
        <w:rPr>
          <w:rFonts w:hint="eastAsia" w:ascii="仿宋" w:hAnsi="仿宋" w:eastAsia="仿宋"/>
          <w:sz w:val="32"/>
          <w:szCs w:val="32"/>
        </w:rPr>
        <w:t>.13万元），包含本年预算</w:t>
      </w:r>
      <w:r>
        <w:rPr>
          <w:rFonts w:ascii="仿宋" w:hAnsi="仿宋" w:eastAsia="仿宋"/>
          <w:sz w:val="32"/>
          <w:szCs w:val="32"/>
        </w:rPr>
        <w:t>1</w:t>
      </w:r>
      <w:r>
        <w:rPr>
          <w:rFonts w:hint="eastAsia" w:ascii="仿宋" w:hAnsi="仿宋" w:eastAsia="仿宋"/>
          <w:sz w:val="32"/>
          <w:szCs w:val="32"/>
        </w:rPr>
        <w:t>1518.94万元和上年结转指标969.05万元</w:t>
      </w:r>
      <w:r>
        <w:rPr>
          <w:rFonts w:ascii="仿宋" w:hAnsi="仿宋" w:eastAsia="仿宋"/>
          <w:sz w:val="32"/>
          <w:szCs w:val="32"/>
        </w:rPr>
        <w:t>(</w:t>
      </w:r>
      <w:r>
        <w:rPr>
          <w:rFonts w:hint="eastAsia" w:ascii="仿宋" w:hAnsi="仿宋" w:eastAsia="仿宋"/>
          <w:sz w:val="32"/>
          <w:szCs w:val="32"/>
        </w:rPr>
        <w:t>2016年资产清查和政府资产报告试点工作专项资金结转11万元</w:t>
      </w:r>
      <w:r>
        <w:rPr>
          <w:rFonts w:ascii="仿宋" w:hAnsi="仿宋" w:eastAsia="仿宋"/>
          <w:sz w:val="32"/>
          <w:szCs w:val="32"/>
        </w:rPr>
        <w:t>+</w:t>
      </w:r>
      <w:r>
        <w:rPr>
          <w:rFonts w:hint="eastAsia" w:ascii="仿宋" w:hAnsi="仿宋" w:eastAsia="仿宋"/>
          <w:sz w:val="32"/>
          <w:szCs w:val="32"/>
        </w:rPr>
        <w:t>湖北省2015年度省直部门决算工作经费结转1万元+医疗费结转357.05万元用于行政医疗费不足</w:t>
      </w:r>
      <w:r>
        <w:rPr>
          <w:rFonts w:ascii="仿宋" w:hAnsi="仿宋" w:eastAsia="仿宋"/>
          <w:sz w:val="32"/>
          <w:szCs w:val="32"/>
        </w:rPr>
        <w:t>+</w:t>
      </w:r>
      <w:r>
        <w:rPr>
          <w:rFonts w:hint="eastAsia" w:ascii="仿宋" w:hAnsi="仿宋" w:eastAsia="仿宋"/>
          <w:sz w:val="32"/>
          <w:szCs w:val="32"/>
        </w:rPr>
        <w:t>省政协委员之家局部维修改造项目结转600万元用于委员之家维修改造</w:t>
      </w:r>
      <w:r>
        <w:rPr>
          <w:rFonts w:ascii="仿宋" w:hAnsi="仿宋" w:eastAsia="仿宋"/>
          <w:sz w:val="32"/>
          <w:szCs w:val="32"/>
        </w:rPr>
        <w:t>)</w:t>
      </w:r>
      <w:r>
        <w:rPr>
          <w:rFonts w:hint="eastAsia" w:ascii="仿宋" w:hAnsi="仿宋" w:eastAsia="仿宋"/>
          <w:sz w:val="32"/>
          <w:szCs w:val="32"/>
        </w:rPr>
        <w:t>。</w:t>
      </w:r>
    </w:p>
    <w:p>
      <w:pPr>
        <w:widowControl w:val="0"/>
        <w:wordWrap/>
        <w:adjustRightInd/>
        <w:snapToGrid/>
        <w:spacing w:line="520" w:lineRule="exact"/>
        <w:ind w:left="0" w:leftChars="0" w:right="-197" w:rightChars="-94" w:firstLine="640" w:firstLineChars="200"/>
        <w:jc w:val="left"/>
        <w:textAlignment w:val="auto"/>
        <w:outlineLvl w:val="9"/>
        <w:rPr>
          <w:rFonts w:hint="eastAsia" w:ascii="仿宋" w:hAnsi="仿宋" w:eastAsia="仿宋"/>
          <w:sz w:val="32"/>
          <w:szCs w:val="32"/>
        </w:rPr>
      </w:pPr>
      <w:r>
        <w:rPr>
          <w:rFonts w:hint="eastAsia" w:ascii="仿宋" w:hAnsi="仿宋" w:eastAsia="仿宋"/>
          <w:sz w:val="32"/>
          <w:szCs w:val="32"/>
        </w:rPr>
        <w:t>湖北省政协办公厅</w:t>
      </w:r>
      <w:r>
        <w:rPr>
          <w:rFonts w:ascii="仿宋" w:hAnsi="仿宋" w:eastAsia="仿宋"/>
          <w:sz w:val="32"/>
          <w:szCs w:val="32"/>
        </w:rPr>
        <w:t>201</w:t>
      </w:r>
      <w:r>
        <w:rPr>
          <w:rFonts w:hint="eastAsia" w:ascii="仿宋" w:hAnsi="仿宋" w:eastAsia="仿宋"/>
          <w:sz w:val="32"/>
          <w:szCs w:val="32"/>
        </w:rPr>
        <w:t>7年总收入12487.99万元（其中财政拨款收入12457.86万元，占总收入的99.76%，其中：基本经费收入7657.55万元，占总收入的61.32%，其他收入30.14万元，主要有全国政协和地方政协年度赴鄂考察租车等收入和全年的利息收入）。</w:t>
      </w:r>
    </w:p>
    <w:p>
      <w:pPr>
        <w:widowControl w:val="0"/>
        <w:wordWrap/>
        <w:adjustRightInd/>
        <w:snapToGrid/>
        <w:spacing w:line="520" w:lineRule="exact"/>
        <w:ind w:left="0" w:lef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湖北省政协办公厅</w:t>
      </w:r>
      <w:r>
        <w:rPr>
          <w:rFonts w:ascii="仿宋" w:hAnsi="仿宋" w:eastAsia="仿宋"/>
          <w:sz w:val="32"/>
          <w:szCs w:val="32"/>
        </w:rPr>
        <w:t>201</w:t>
      </w:r>
      <w:r>
        <w:rPr>
          <w:rFonts w:hint="eastAsia" w:ascii="仿宋" w:hAnsi="仿宋" w:eastAsia="仿宋"/>
          <w:sz w:val="32"/>
          <w:szCs w:val="32"/>
        </w:rPr>
        <w:t>7年总支出为12487.99万元，其中项目经费支出4800.31万元，占总支出的38.44</w:t>
      </w:r>
      <w:r>
        <w:rPr>
          <w:rFonts w:ascii="仿宋" w:hAnsi="仿宋" w:eastAsia="仿宋"/>
          <w:sz w:val="32"/>
          <w:szCs w:val="32"/>
        </w:rPr>
        <w:t>%</w:t>
      </w:r>
      <w:r>
        <w:rPr>
          <w:rFonts w:hint="eastAsia" w:ascii="仿宋" w:hAnsi="仿宋" w:eastAsia="仿宋"/>
          <w:sz w:val="32"/>
          <w:szCs w:val="32"/>
        </w:rPr>
        <w:t>，离退休经费支出755.35万元，占总支出的6.0</w:t>
      </w:r>
      <w:r>
        <w:rPr>
          <w:rFonts w:ascii="仿宋" w:hAnsi="仿宋" w:eastAsia="仿宋"/>
          <w:sz w:val="32"/>
          <w:szCs w:val="32"/>
        </w:rPr>
        <w:t>5%</w:t>
      </w:r>
      <w:r>
        <w:rPr>
          <w:rFonts w:hint="eastAsia" w:ascii="仿宋" w:hAnsi="仿宋" w:eastAsia="仿宋"/>
          <w:sz w:val="32"/>
          <w:szCs w:val="32"/>
        </w:rPr>
        <w:t>，公费医疗支出1224.35万元，占总支出的9.8</w:t>
      </w:r>
      <w:r>
        <w:rPr>
          <w:rFonts w:ascii="仿宋" w:hAnsi="仿宋" w:eastAsia="仿宋"/>
          <w:sz w:val="32"/>
          <w:szCs w:val="32"/>
        </w:rPr>
        <w:t>%</w:t>
      </w:r>
      <w:r>
        <w:rPr>
          <w:rFonts w:hint="eastAsia" w:ascii="仿宋" w:hAnsi="仿宋" w:eastAsia="仿宋"/>
          <w:sz w:val="32"/>
          <w:szCs w:val="32"/>
        </w:rPr>
        <w:t>。</w:t>
      </w:r>
    </w:p>
    <w:p>
      <w:pPr>
        <w:spacing w:line="480" w:lineRule="auto"/>
        <w:ind w:right="-197" w:rightChars="-94" w:firstLine="643" w:firstLineChars="200"/>
        <w:jc w:val="left"/>
        <w:rPr>
          <w:rFonts w:hint="eastAsia" w:ascii="楷体" w:hAnsi="楷体" w:eastAsia="楷体"/>
          <w:b/>
          <w:sz w:val="32"/>
          <w:szCs w:val="32"/>
        </w:rPr>
      </w:pPr>
      <w:r>
        <w:rPr>
          <w:rFonts w:hint="eastAsia" w:ascii="楷体" w:hAnsi="楷体" w:eastAsia="楷体"/>
          <w:b/>
          <w:sz w:val="32"/>
          <w:szCs w:val="32"/>
        </w:rPr>
        <w:t>（五）当年省委省政府下达的重点工作</w:t>
      </w:r>
    </w:p>
    <w:p>
      <w:pPr>
        <w:widowControl w:val="0"/>
        <w:wordWrap/>
        <w:adjustRightInd/>
        <w:snapToGrid/>
        <w:spacing w:line="520" w:lineRule="exact"/>
        <w:ind w:left="0" w:leftChars="0" w:right="0" w:firstLine="640" w:firstLineChars="200"/>
        <w:jc w:val="left"/>
        <w:textAlignment w:val="auto"/>
        <w:outlineLvl w:val="9"/>
        <w:rPr>
          <w:rFonts w:hint="eastAsia" w:ascii="仿宋" w:hAnsi="仿宋" w:eastAsia="仿宋"/>
          <w:sz w:val="32"/>
          <w:szCs w:val="32"/>
        </w:rPr>
      </w:pPr>
      <w:r>
        <w:rPr>
          <w:rFonts w:hint="eastAsia" w:ascii="仿宋" w:hAnsi="仿宋" w:eastAsia="仿宋"/>
          <w:sz w:val="32"/>
          <w:szCs w:val="32"/>
        </w:rPr>
        <w:t>（1）</w:t>
      </w:r>
      <w:r>
        <w:rPr>
          <w:rFonts w:hint="eastAsia" w:ascii="仿宋" w:hAnsi="仿宋" w:eastAsia="仿宋" w:cs="Times New Roman"/>
          <w:sz w:val="32"/>
          <w:szCs w:val="32"/>
        </w:rPr>
        <w:t>加强政治建设，坚决维护以习近平同志为核心的党中央权威和集中统一领导</w:t>
      </w:r>
      <w:r>
        <w:rPr>
          <w:rFonts w:hint="eastAsia" w:ascii="仿宋" w:hAnsi="仿宋" w:eastAsia="仿宋"/>
          <w:sz w:val="32"/>
          <w:szCs w:val="32"/>
        </w:rPr>
        <w:t>。湖北</w:t>
      </w:r>
      <w:r>
        <w:rPr>
          <w:rFonts w:hint="eastAsia" w:ascii="仿宋" w:hAnsi="仿宋" w:eastAsia="仿宋" w:cs="Times New Roman"/>
          <w:sz w:val="32"/>
          <w:szCs w:val="32"/>
        </w:rPr>
        <w:t>省政协党组高度重视政治建设，反复强调政协是政治组织，履行的是政治责任，发挥的是政治作用，必须旗帜鲜明地讲政治，牢固树立“四个意识”，坚定“四个自信”，在政治立场</w:t>
      </w:r>
      <w:bookmarkStart w:id="2" w:name="qihoosnap1"/>
      <w:bookmarkEnd w:id="2"/>
      <w:r>
        <w:rPr>
          <w:rFonts w:hint="eastAsia" w:ascii="仿宋" w:hAnsi="仿宋" w:eastAsia="仿宋" w:cs="Times New Roman"/>
          <w:sz w:val="32"/>
          <w:szCs w:val="32"/>
        </w:rPr>
        <w:t>、政治方向</w:t>
      </w:r>
      <w:bookmarkStart w:id="3" w:name="qihoosnap2"/>
      <w:bookmarkEnd w:id="3"/>
      <w:r>
        <w:rPr>
          <w:rFonts w:hint="eastAsia" w:ascii="仿宋" w:hAnsi="仿宋" w:eastAsia="仿宋" w:cs="Times New Roman"/>
          <w:sz w:val="32"/>
          <w:szCs w:val="32"/>
        </w:rPr>
        <w:t>、政治原则</w:t>
      </w:r>
      <w:bookmarkStart w:id="4" w:name="qihoosnap3"/>
      <w:bookmarkEnd w:id="4"/>
      <w:r>
        <w:rPr>
          <w:rFonts w:hint="eastAsia" w:ascii="仿宋" w:hAnsi="仿宋" w:eastAsia="仿宋" w:cs="Times New Roman"/>
          <w:sz w:val="32"/>
          <w:szCs w:val="32"/>
        </w:rPr>
        <w:t>、政治道路上同以习近平同志为核心的党中央保持高度一致。</w:t>
      </w:r>
    </w:p>
    <w:p>
      <w:pPr>
        <w:widowControl w:val="0"/>
        <w:wordWrap/>
        <w:adjustRightInd/>
        <w:snapToGrid/>
        <w:spacing w:line="520" w:lineRule="exact"/>
        <w:ind w:left="0" w:leftChars="0" w:right="-197" w:rightChars="-94" w:firstLine="640" w:firstLineChars="200"/>
        <w:jc w:val="left"/>
        <w:outlineLvl w:val="9"/>
        <w:rPr>
          <w:rFonts w:hint="eastAsia" w:ascii="仿宋" w:hAnsi="仿宋" w:eastAsia="仿宋"/>
          <w:sz w:val="32"/>
          <w:szCs w:val="32"/>
        </w:rPr>
      </w:pPr>
      <w:r>
        <w:rPr>
          <w:rFonts w:hint="eastAsia" w:ascii="仿宋" w:hAnsi="仿宋" w:eastAsia="仿宋"/>
          <w:sz w:val="32"/>
          <w:szCs w:val="32"/>
        </w:rPr>
        <w:t>（2）</w:t>
      </w:r>
      <w:r>
        <w:rPr>
          <w:rFonts w:hint="eastAsia" w:ascii="仿宋" w:hAnsi="仿宋" w:eastAsia="仿宋" w:cs="Times New Roman"/>
          <w:sz w:val="32"/>
          <w:szCs w:val="32"/>
        </w:rPr>
        <w:t>落实主体责任，全面加强党对政协工作的领导</w:t>
      </w:r>
      <w:r>
        <w:rPr>
          <w:rFonts w:hint="eastAsia" w:ascii="仿宋" w:hAnsi="仿宋" w:eastAsia="仿宋"/>
          <w:sz w:val="32"/>
          <w:szCs w:val="32"/>
        </w:rPr>
        <w:t>。湖北</w:t>
      </w:r>
      <w:r>
        <w:rPr>
          <w:rFonts w:hint="eastAsia" w:ascii="仿宋" w:hAnsi="仿宋" w:eastAsia="仿宋" w:cs="Times New Roman"/>
          <w:sz w:val="32"/>
          <w:szCs w:val="32"/>
        </w:rPr>
        <w:t>省政协党组建立了快速响应工作机制，党中央决策部署和省委要求，省政协党组第一时间响应，第一时间研究贯彻落实举措，重大事项第一时间向省委报告。精心组织省委批准的政协年度协商计划，协商结果及时向省委书面报告。探索发挥人民政协民主监督在推进全面从严治党中的作用，就“聚焦全面从严治党，发挥人民政协民主监督作用”议题，召开议政性常委会议，为营造风清气正的政治环境作贡献。</w:t>
      </w:r>
    </w:p>
    <w:p>
      <w:pPr>
        <w:pStyle w:val="4"/>
        <w:widowControl w:val="0"/>
        <w:wordWrap/>
        <w:adjustRightInd/>
        <w:snapToGrid/>
        <w:spacing w:beforeAutospacing="0" w:afterAutospacing="0" w:line="520" w:lineRule="exact"/>
        <w:ind w:left="0" w:leftChars="0" w:firstLine="720"/>
        <w:jc w:val="both"/>
        <w:textAlignment w:val="baseline"/>
        <w:outlineLvl w:val="9"/>
        <w:rPr>
          <w:rFonts w:hint="eastAsia" w:ascii="仿宋" w:hAnsi="仿宋" w:eastAsia="仿宋" w:cs="Times New Roman"/>
          <w:kern w:val="2"/>
          <w:sz w:val="32"/>
          <w:szCs w:val="32"/>
        </w:rPr>
      </w:pPr>
      <w:r>
        <w:rPr>
          <w:rFonts w:hint="eastAsia" w:ascii="仿宋" w:hAnsi="仿宋" w:eastAsia="仿宋" w:cs="Times New Roman"/>
          <w:kern w:val="2"/>
          <w:sz w:val="32"/>
          <w:szCs w:val="32"/>
        </w:rPr>
        <w:t>（3）贯彻落实党中央决策部署和省委工作要求，紧扣中心工作献计出力。认真贯彻中央《关于加强新形势下党的督促检查工作的意见》和省委要求，结合政协工作实际，强化抓落实的意识和举措。以助力“十三五”规划实施为重点，为省委、省政府把握引领经济新常态、推进供给侧结构性改革献计出力。</w:t>
      </w:r>
    </w:p>
    <w:p>
      <w:pPr>
        <w:widowControl w:val="0"/>
        <w:wordWrap/>
        <w:adjustRightInd/>
        <w:snapToGrid/>
        <w:spacing w:line="520" w:lineRule="exact"/>
        <w:ind w:left="0" w:leftChars="0" w:firstLine="720"/>
        <w:outlineLvl w:val="9"/>
        <w:rPr>
          <w:rFonts w:hint="eastAsia" w:ascii="仿宋" w:hAnsi="仿宋" w:eastAsia="仿宋" w:cs="Times New Roman"/>
          <w:sz w:val="32"/>
          <w:szCs w:val="32"/>
        </w:rPr>
      </w:pPr>
      <w:r>
        <w:rPr>
          <w:rFonts w:hint="eastAsia" w:ascii="仿宋" w:hAnsi="仿宋" w:eastAsia="仿宋" w:cs="Times New Roman"/>
          <w:sz w:val="32"/>
          <w:szCs w:val="32"/>
        </w:rPr>
        <w:t>（4）坚持构建协商新格局，深入推进人民政协协商民主建设。深入学习贯彻习近平总书记社会主义协商民主和人民政协思想，更好发挥协商民主重要渠道和专门协商机构作用，构建了以全体会议为龙头，以议政性常委会议和常委专题协商会为重点，以月度协商座谈会、界别协商座谈会、提案办理协商会等为常态，以专委会对口协商、网络议政与远程协商等为补充的协商议政格局。</w:t>
      </w:r>
    </w:p>
    <w:p>
      <w:pPr>
        <w:widowControl w:val="0"/>
        <w:wordWrap/>
        <w:adjustRightInd/>
        <w:snapToGrid/>
        <w:spacing w:line="520" w:lineRule="exact"/>
        <w:ind w:left="0" w:leftChars="0" w:firstLine="720"/>
        <w:outlineLvl w:val="9"/>
        <w:rPr>
          <w:rFonts w:hint="eastAsia" w:ascii="仿宋" w:hAnsi="仿宋" w:eastAsia="仿宋" w:cs="Times New Roman"/>
          <w:sz w:val="32"/>
          <w:szCs w:val="32"/>
        </w:rPr>
      </w:pPr>
      <w:r>
        <w:rPr>
          <w:rFonts w:hint="eastAsia" w:ascii="仿宋" w:hAnsi="仿宋" w:eastAsia="仿宋" w:cs="Times New Roman"/>
          <w:sz w:val="32"/>
          <w:szCs w:val="32"/>
        </w:rPr>
        <w:t>（5）持之以恒纠正“四风”，不断提升履职能力和水平。加强常委会建设，优化常委会议流程，建立竞争性发言遴选机制，提高会议协商建言成效。加强委员队伍建设，围绕提升委员履职能力、落实省委对省政协换届工作的部署，强化对委员的政治监督和履职考评，做实委员履职“成绩单”和委员队伍情况分析，开展本届优秀政协委员评选和表彰，与有关部门及时沟通，为省委做好委员换届安排提供参考。发挥专委会基础性作用，配优配强专委会组成人员，建立健全专委会联系界别等机制。</w:t>
      </w:r>
    </w:p>
    <w:p>
      <w:pPr>
        <w:spacing w:line="480" w:lineRule="auto"/>
        <w:ind w:right="42" w:rightChars="20" w:firstLine="640" w:firstLineChars="200"/>
        <w:jc w:val="left"/>
        <w:rPr>
          <w:rFonts w:ascii="黑体" w:hAnsi="黑体" w:eastAsia="黑体"/>
          <w:sz w:val="32"/>
          <w:szCs w:val="32"/>
        </w:rPr>
      </w:pPr>
      <w:r>
        <w:rPr>
          <w:rFonts w:hint="eastAsia" w:ascii="黑体" w:hAnsi="黑体" w:eastAsia="黑体"/>
          <w:sz w:val="32"/>
          <w:szCs w:val="32"/>
        </w:rPr>
        <w:t>三、绩效自评工作情况</w:t>
      </w:r>
    </w:p>
    <w:p>
      <w:pPr>
        <w:spacing w:line="480" w:lineRule="auto"/>
        <w:ind w:firstLine="643" w:firstLineChars="200"/>
        <w:jc w:val="left"/>
        <w:rPr>
          <w:rFonts w:ascii="楷体" w:hAnsi="楷体" w:eastAsia="楷体"/>
          <w:b/>
          <w:sz w:val="32"/>
          <w:szCs w:val="32"/>
        </w:rPr>
      </w:pPr>
      <w:r>
        <w:rPr>
          <w:rFonts w:hint="eastAsia" w:ascii="楷体" w:hAnsi="楷体" w:eastAsia="楷体"/>
          <w:b/>
          <w:sz w:val="32"/>
          <w:szCs w:val="32"/>
        </w:rPr>
        <w:t>（一）绩效目标完成情况</w:t>
      </w:r>
    </w:p>
    <w:p>
      <w:pPr>
        <w:widowControl w:val="0"/>
        <w:wordWrap/>
        <w:adjustRightInd/>
        <w:snapToGrid/>
        <w:spacing w:line="520" w:lineRule="exact"/>
        <w:ind w:left="0" w:leftChars="0" w:right="42" w:rightChars="20" w:firstLine="640" w:firstLineChars="200"/>
        <w:jc w:val="left"/>
        <w:textAlignment w:val="auto"/>
        <w:outlineLvl w:val="9"/>
        <w:rPr>
          <w:rFonts w:hint="eastAsia" w:ascii="仿宋" w:hAnsi="仿宋" w:eastAsia="仿宋"/>
          <w:sz w:val="32"/>
          <w:szCs w:val="32"/>
        </w:rPr>
      </w:pPr>
      <w:r>
        <w:rPr>
          <w:rFonts w:hint="eastAsia" w:ascii="仿宋" w:hAnsi="仿宋" w:eastAsia="仿宋"/>
          <w:sz w:val="32"/>
          <w:szCs w:val="32"/>
        </w:rPr>
        <w:t>2</w:t>
      </w:r>
      <w:r>
        <w:rPr>
          <w:rFonts w:ascii="仿宋" w:hAnsi="仿宋" w:eastAsia="仿宋"/>
          <w:sz w:val="32"/>
          <w:szCs w:val="32"/>
        </w:rPr>
        <w:t>017</w:t>
      </w:r>
      <w:r>
        <w:rPr>
          <w:rFonts w:hint="eastAsia" w:ascii="仿宋" w:hAnsi="仿宋" w:eastAsia="仿宋"/>
          <w:sz w:val="32"/>
          <w:szCs w:val="32"/>
        </w:rPr>
        <w:t>年度，湖北省政协办公厅设定的整体绩效目标为：</w:t>
      </w:r>
    </w:p>
    <w:p>
      <w:pPr>
        <w:widowControl w:val="0"/>
        <w:wordWrap/>
        <w:adjustRightInd/>
        <w:snapToGrid/>
        <w:spacing w:line="520" w:lineRule="exact"/>
        <w:ind w:left="0" w:leftChars="0" w:right="42" w:rightChars="20" w:firstLine="640" w:firstLineChars="200"/>
        <w:jc w:val="left"/>
        <w:textAlignment w:val="auto"/>
        <w:outlineLvl w:val="9"/>
        <w:rPr>
          <w:rFonts w:hint="eastAsia" w:ascii="仿宋" w:hAnsi="仿宋" w:eastAsia="仿宋"/>
          <w:sz w:val="32"/>
          <w:szCs w:val="32"/>
        </w:rPr>
      </w:pPr>
      <w:r>
        <w:rPr>
          <w:rFonts w:hint="eastAsia" w:ascii="仿宋" w:hAnsi="仿宋" w:eastAsia="仿宋"/>
          <w:sz w:val="32"/>
          <w:szCs w:val="32"/>
        </w:rPr>
        <w:t>目标1：召开省政协十一届五次会议,召开议政性常委会议4-5次,常委专题协商会2次,月度协商座谈会10次、界别协商座谈会9次，提案办理协商会、经济形势分析会、区域性协作会等，召开湖北省各界人士迎新年茶话会,召开全省市州政协主席座谈会，全省人民政协理论研讨会,经济工作研讨会,律师顾问组研讨会,民族宗教工作会等协商研讨会议，9个专委会全省工作会议；</w:t>
      </w:r>
    </w:p>
    <w:p>
      <w:pPr>
        <w:widowControl w:val="0"/>
        <w:wordWrap/>
        <w:adjustRightInd/>
        <w:snapToGrid/>
        <w:spacing w:line="520" w:lineRule="exact"/>
        <w:ind w:left="0" w:leftChars="0" w:right="42" w:rightChars="20" w:firstLine="640" w:firstLineChars="200"/>
        <w:jc w:val="left"/>
        <w:textAlignment w:val="auto"/>
        <w:outlineLvl w:val="9"/>
        <w:rPr>
          <w:rFonts w:hint="eastAsia" w:ascii="仿宋" w:hAnsi="仿宋" w:eastAsia="仿宋"/>
          <w:sz w:val="32"/>
          <w:szCs w:val="32"/>
        </w:rPr>
      </w:pPr>
      <w:r>
        <w:rPr>
          <w:rFonts w:hint="eastAsia" w:ascii="仿宋" w:hAnsi="仿宋" w:eastAsia="仿宋"/>
          <w:sz w:val="32"/>
          <w:szCs w:val="32"/>
        </w:rPr>
        <w:t>2017年，各类会议除团结联谊类会议根据省政协工作安排，厉行节约，将中秋戏曲晚会和新春茶话会合并，实际召开了1次团结联谊类会议外，其他会议均圆满完成。会议期间，委员们认真学习讨论蒋超良书记的重要讲话、省政府工作报告、省政协常委会工作报告等重要文件，紧紧围绕我省改革发展稳定重点难点问题和人民群众普遍关心的突出问题，以饱满的政治热情和高度的社会责任感，有效协商议政，积极建言献策，充分体现了履职担当、奋发有为的精神状态，生动展现了中国共产党领导的多党合作和政治协商制度的生机与活力，对湖北经济持续健康发展、发挥政协民主作用、促进多党合作共事起到了有力的推动。</w:t>
      </w:r>
    </w:p>
    <w:p>
      <w:pPr>
        <w:widowControl w:val="0"/>
        <w:wordWrap/>
        <w:adjustRightInd/>
        <w:snapToGrid/>
        <w:spacing w:line="520" w:lineRule="exact"/>
        <w:ind w:left="0" w:leftChars="0" w:right="42" w:rightChars="20" w:firstLine="640" w:firstLineChars="200"/>
        <w:jc w:val="left"/>
        <w:textAlignment w:val="auto"/>
        <w:outlineLvl w:val="9"/>
        <w:rPr>
          <w:rFonts w:hint="eastAsia" w:ascii="仿宋" w:hAnsi="仿宋" w:eastAsia="仿宋"/>
          <w:sz w:val="32"/>
          <w:szCs w:val="32"/>
        </w:rPr>
      </w:pPr>
      <w:r>
        <w:rPr>
          <w:rFonts w:hint="eastAsia" w:ascii="仿宋" w:hAnsi="仿宋" w:eastAsia="仿宋"/>
          <w:sz w:val="32"/>
          <w:szCs w:val="32"/>
        </w:rPr>
        <w:t>目标2：围绕省委省政府重大方针政策的贯彻落实，群众关心的热点难点问题的解决，重大项目的建设组织委员视察。由省政协办公厅负责组织，先通过召开专门会议的方式，同有关方面广泛协商，充分征求意见和建议，在形成共识的基础上，科学制订年度委员视察工作计划。做好委员视察活动组织实施工作。发挥委员视察在</w:t>
      </w:r>
      <w:r>
        <w:rPr>
          <w:rFonts w:hint="eastAsia" w:ascii="仿宋" w:hAnsi="仿宋" w:eastAsia="仿宋"/>
          <w:sz w:val="32"/>
          <w:szCs w:val="32"/>
          <w:lang w:eastAsia="zh-CN"/>
        </w:rPr>
        <w:t>资</w:t>
      </w:r>
      <w:bookmarkStart w:id="6" w:name="_GoBack"/>
      <w:bookmarkEnd w:id="6"/>
      <w:r>
        <w:rPr>
          <w:rFonts w:hint="eastAsia" w:ascii="仿宋" w:hAnsi="仿宋" w:eastAsia="仿宋"/>
          <w:sz w:val="32"/>
          <w:szCs w:val="32"/>
        </w:rPr>
        <w:t>政建言、反映社情民意信息、开展民主监督等方面的作用，做好委员视察的宣传报道工作；</w:t>
      </w:r>
    </w:p>
    <w:p>
      <w:pPr>
        <w:widowControl w:val="0"/>
        <w:wordWrap/>
        <w:adjustRightInd/>
        <w:snapToGrid/>
        <w:spacing w:line="520" w:lineRule="exact"/>
        <w:ind w:left="0" w:leftChars="0" w:right="42" w:rightChars="20" w:firstLine="640" w:firstLineChars="200"/>
        <w:jc w:val="left"/>
        <w:textAlignment w:val="auto"/>
        <w:outlineLvl w:val="9"/>
        <w:rPr>
          <w:rFonts w:hint="eastAsia" w:ascii="仿宋" w:hAnsi="仿宋" w:eastAsia="仿宋"/>
          <w:sz w:val="32"/>
          <w:szCs w:val="32"/>
        </w:rPr>
      </w:pPr>
      <w:r>
        <w:rPr>
          <w:rFonts w:hint="eastAsia" w:ascii="仿宋" w:hAnsi="仿宋" w:eastAsia="仿宋"/>
          <w:sz w:val="32"/>
          <w:szCs w:val="32"/>
        </w:rPr>
        <w:t>一年来，全面提升选题、调研、会中互动、成果转化水平，使议题征集更加开放民主，会前调研更加深入，会中互动更加充分，会议成果转化更加便捷。拓宽各界群众议政渠道，推进人民政协协商向基层延伸，与有关媒体合作共建专题专栏，积极谋划电视议政节目，探索网络议政新模式，5项开放性协商议题开展网络议政，3次协商活动过程网络直播、与网民互动，120多万网民在线点播收看，产生良好的社会影响，有效凝聚了社会共识。</w:t>
      </w:r>
    </w:p>
    <w:p>
      <w:pPr>
        <w:widowControl w:val="0"/>
        <w:wordWrap/>
        <w:adjustRightInd/>
        <w:snapToGrid/>
        <w:spacing w:line="520" w:lineRule="exact"/>
        <w:ind w:left="0" w:leftChars="0" w:right="42" w:rightChars="20" w:firstLine="640" w:firstLineChars="200"/>
        <w:jc w:val="left"/>
        <w:textAlignment w:val="auto"/>
        <w:outlineLvl w:val="9"/>
        <w:rPr>
          <w:rFonts w:hint="eastAsia" w:ascii="仿宋" w:hAnsi="仿宋" w:eastAsia="仿宋"/>
          <w:sz w:val="32"/>
          <w:szCs w:val="32"/>
        </w:rPr>
      </w:pPr>
      <w:r>
        <w:rPr>
          <w:rFonts w:hint="eastAsia" w:ascii="仿宋" w:hAnsi="仿宋" w:eastAsia="仿宋"/>
          <w:sz w:val="32"/>
          <w:szCs w:val="32"/>
        </w:rPr>
        <w:t>目标3：选择经济社会发展中具有综合性、全局性、前瞻性的重要问题，组织调查和研究，积极主动向党政领导机关提出建设性的意见；通过多种方式，广开言路，广开才路，充分发挥委员专长和作用；广泛参与政治、经济、文化和社会活动，对一些共同关心的事项开展评议等为内容的参政议政工作；</w:t>
      </w:r>
    </w:p>
    <w:p>
      <w:pPr>
        <w:widowControl w:val="0"/>
        <w:wordWrap/>
        <w:adjustRightInd/>
        <w:snapToGrid/>
        <w:spacing w:line="520" w:lineRule="exact"/>
        <w:ind w:left="0" w:leftChars="0" w:firstLine="720"/>
        <w:textAlignment w:val="auto"/>
        <w:outlineLvl w:val="9"/>
        <w:rPr>
          <w:rFonts w:hint="eastAsia" w:ascii="仿宋" w:hAnsi="仿宋" w:eastAsia="仿宋"/>
          <w:sz w:val="32"/>
          <w:szCs w:val="32"/>
        </w:rPr>
      </w:pPr>
      <w:r>
        <w:rPr>
          <w:rFonts w:hint="eastAsia" w:ascii="仿宋" w:hAnsi="仿宋" w:eastAsia="仿宋"/>
          <w:sz w:val="32"/>
          <w:szCs w:val="32"/>
        </w:rPr>
        <w:t>湖北省政协办公厅2017年</w:t>
      </w:r>
      <w:r>
        <w:rPr>
          <w:rFonts w:hint="eastAsia" w:ascii="仿宋" w:hAnsi="仿宋" w:eastAsia="仿宋" w:cs="Times New Roman"/>
          <w:sz w:val="32"/>
          <w:szCs w:val="32"/>
        </w:rPr>
        <w:t>加强</w:t>
      </w:r>
      <w:r>
        <w:rPr>
          <w:rFonts w:hint="eastAsia" w:ascii="仿宋" w:hAnsi="仿宋" w:eastAsia="仿宋"/>
          <w:sz w:val="32"/>
          <w:szCs w:val="32"/>
        </w:rPr>
        <w:t>了</w:t>
      </w:r>
      <w:r>
        <w:rPr>
          <w:rFonts w:hint="eastAsia" w:ascii="仿宋" w:hAnsi="仿宋" w:eastAsia="仿宋" w:cs="Times New Roman"/>
          <w:sz w:val="32"/>
          <w:szCs w:val="32"/>
        </w:rPr>
        <w:t>信息工作制度机制建设，制定出台《政协湖北省委员会关于加强信息工作的若干意见》。不断构建大信息工作格局。拓宽信息渠道，构建上下联动、左右互通的信息网络体系，形成各方参与、共建共享的大信息工作格局。积极采编信息，提高信息工作质量。全年共向全国政协报送社情民意信息328篇；报省领导信息专报和省政协内刊采用107篇，批示30篇；报省委、省政府办公厅信息948篇。</w:t>
      </w:r>
      <w:r>
        <w:rPr>
          <w:rFonts w:hint="eastAsia" w:ascii="仿宋" w:hAnsi="仿宋" w:eastAsia="仿宋"/>
          <w:sz w:val="32"/>
          <w:szCs w:val="32"/>
        </w:rPr>
        <w:t>刊用文章的范围拓宽、质量提高、针对性和参考价值进一步提升，产生良好的社会影响，有效凝聚了社会共识。</w:t>
      </w:r>
    </w:p>
    <w:p>
      <w:pPr>
        <w:widowControl w:val="0"/>
        <w:wordWrap/>
        <w:adjustRightInd/>
        <w:snapToGrid/>
        <w:spacing w:line="520" w:lineRule="exact"/>
        <w:ind w:left="0" w:leftChars="0" w:right="42" w:rightChars="20" w:firstLine="640" w:firstLineChars="200"/>
        <w:jc w:val="left"/>
        <w:textAlignment w:val="auto"/>
        <w:outlineLvl w:val="9"/>
        <w:rPr>
          <w:rFonts w:hint="eastAsia" w:ascii="仿宋" w:hAnsi="仿宋" w:eastAsia="仿宋"/>
          <w:sz w:val="32"/>
          <w:szCs w:val="32"/>
        </w:rPr>
      </w:pPr>
      <w:r>
        <w:rPr>
          <w:rFonts w:hint="eastAsia" w:ascii="仿宋" w:hAnsi="仿宋" w:eastAsia="仿宋"/>
          <w:sz w:val="32"/>
          <w:szCs w:val="32"/>
        </w:rPr>
        <w:t>目标4：做好省政协委员视察、调研、考察、提案办理协商等日常活动的联络、服务和具体工作。做好接待全国政协来鄂的视察组、调研组、考察组的工作；接待各省市政协来鄂调研考察工作。做好省政协履职的对内对外宣传、委员学习培训工作，编写并出版《学习与思考》、《</w:t>
      </w:r>
      <w:r>
        <w:rPr>
          <w:rFonts w:hint="eastAsia" w:ascii="仿宋" w:hAnsi="仿宋" w:eastAsia="仿宋"/>
          <w:sz w:val="32"/>
          <w:szCs w:val="32"/>
          <w:lang w:eastAsia="zh-CN"/>
        </w:rPr>
        <w:t>湖北政协</w:t>
      </w:r>
      <w:r>
        <w:rPr>
          <w:rFonts w:hint="eastAsia" w:ascii="仿宋" w:hAnsi="仿宋" w:eastAsia="仿宋"/>
          <w:sz w:val="32"/>
          <w:szCs w:val="32"/>
        </w:rPr>
        <w:t>》等期刊，编发湖北手机报政协版，做好《协商议政》栏目，订阅《湖北文献》等委员学习材料，为委员知情知政提供服务；做好政协文史资料工作，充分调动委员在史料征集中的积极性；</w:t>
      </w:r>
    </w:p>
    <w:p>
      <w:pPr>
        <w:widowControl w:val="0"/>
        <w:wordWrap/>
        <w:adjustRightInd/>
        <w:snapToGrid/>
        <w:spacing w:line="520" w:lineRule="exact"/>
        <w:ind w:left="0" w:leftChars="0" w:right="42" w:rightChars="20" w:firstLine="640" w:firstLineChars="200"/>
        <w:jc w:val="left"/>
        <w:textAlignment w:val="auto"/>
        <w:outlineLvl w:val="9"/>
        <w:rPr>
          <w:rFonts w:hint="eastAsia" w:ascii="仿宋" w:hAnsi="仿宋" w:eastAsia="仿宋"/>
          <w:sz w:val="32"/>
          <w:szCs w:val="32"/>
        </w:rPr>
      </w:pPr>
      <w:r>
        <w:rPr>
          <w:rFonts w:hint="eastAsia" w:ascii="仿宋" w:hAnsi="仿宋" w:eastAsia="仿宋"/>
          <w:sz w:val="32"/>
          <w:szCs w:val="32"/>
        </w:rPr>
        <w:t>一年来，湖北省政协办公厅严格执行中央、省委和省政协有关接待工作的规定，热情周到地做好接待服务工作。其中：国家领导人视察调研接待38批次，兄弟省市领导视察、调研接待58批次，得到了服务对象的一致好评。对住鄂全国政协委员、省政协常委、委员进行培训，为其提供《世纪行》、《湖北文史》、《学习与思考》等学习资料，进一步提升政协委员履职能力。</w:t>
      </w:r>
    </w:p>
    <w:p>
      <w:pPr>
        <w:widowControl w:val="0"/>
        <w:wordWrap/>
        <w:adjustRightInd/>
        <w:snapToGrid/>
        <w:spacing w:line="520" w:lineRule="exact"/>
        <w:ind w:left="0" w:leftChars="0" w:firstLine="640" w:firstLineChars="200"/>
        <w:jc w:val="left"/>
        <w:textAlignment w:val="auto"/>
        <w:outlineLvl w:val="9"/>
        <w:rPr>
          <w:rFonts w:hint="eastAsia" w:ascii="仿宋" w:hAnsi="仿宋" w:eastAsia="仿宋"/>
          <w:sz w:val="32"/>
          <w:szCs w:val="32"/>
        </w:rPr>
      </w:pPr>
      <w:r>
        <w:rPr>
          <w:rFonts w:hint="eastAsia" w:ascii="仿宋" w:hAnsi="仿宋" w:eastAsia="仿宋"/>
          <w:sz w:val="32"/>
          <w:szCs w:val="32"/>
        </w:rPr>
        <w:t>于2018年6月开始利用省政协官方网（www.hbzx.gov.cn）在首页公告栏征集评价意见。截止2018年6月25日参加调查的政协委员、政协机关工作人员、社会公众</w:t>
      </w:r>
      <w:r>
        <w:rPr>
          <w:rFonts w:hint="eastAsia" w:ascii="仿宋" w:hAnsi="仿宋" w:eastAsia="仿宋"/>
          <w:sz w:val="32"/>
          <w:szCs w:val="32"/>
          <w:lang w:eastAsia="zh-CN"/>
        </w:rPr>
        <w:t>共</w:t>
      </w:r>
      <w:r>
        <w:rPr>
          <w:rFonts w:hint="eastAsia" w:ascii="仿宋" w:hAnsi="仿宋" w:eastAsia="仿宋"/>
          <w:sz w:val="32"/>
          <w:szCs w:val="32"/>
        </w:rPr>
        <w:t>1295人，收集到有效调查问卷</w:t>
      </w:r>
      <w:r>
        <w:rPr>
          <w:rFonts w:hint="eastAsia" w:ascii="仿宋" w:hAnsi="仿宋" w:eastAsia="仿宋"/>
          <w:sz w:val="32"/>
          <w:szCs w:val="32"/>
          <w:lang w:eastAsia="zh-CN"/>
        </w:rPr>
        <w:t>合计</w:t>
      </w:r>
      <w:r>
        <w:rPr>
          <w:rFonts w:hint="eastAsia" w:ascii="仿宋" w:hAnsi="仿宋" w:eastAsia="仿宋"/>
          <w:sz w:val="32"/>
          <w:szCs w:val="32"/>
        </w:rPr>
        <w:t>1295份，通过问卷分析，湖北省政协工作得到了政协委员、政协工作人员、社会公众的一致肯定。</w:t>
      </w:r>
    </w:p>
    <w:p>
      <w:pPr>
        <w:spacing w:line="480" w:lineRule="auto"/>
        <w:ind w:firstLine="643" w:firstLineChars="200"/>
        <w:jc w:val="left"/>
        <w:rPr>
          <w:rFonts w:ascii="楷体" w:hAnsi="楷体" w:eastAsia="楷体"/>
          <w:b/>
          <w:sz w:val="32"/>
          <w:szCs w:val="32"/>
        </w:rPr>
      </w:pPr>
      <w:r>
        <w:rPr>
          <w:rFonts w:hint="eastAsia" w:ascii="楷体" w:hAnsi="楷体" w:eastAsia="楷体"/>
          <w:b/>
          <w:sz w:val="32"/>
          <w:szCs w:val="32"/>
        </w:rPr>
        <w:t>（二）指标完成值与目标值偏差3</w:t>
      </w:r>
      <w:r>
        <w:rPr>
          <w:rFonts w:ascii="楷体" w:hAnsi="楷体" w:eastAsia="楷体"/>
          <w:b/>
          <w:sz w:val="32"/>
          <w:szCs w:val="32"/>
        </w:rPr>
        <w:t>0%</w:t>
      </w:r>
      <w:r>
        <w:rPr>
          <w:rFonts w:hint="eastAsia" w:ascii="楷体" w:hAnsi="楷体" w:eastAsia="楷体"/>
          <w:b/>
          <w:sz w:val="32"/>
          <w:szCs w:val="32"/>
        </w:rPr>
        <w:t>以上的原因分析</w:t>
      </w:r>
    </w:p>
    <w:p>
      <w:pPr>
        <w:widowControl w:val="0"/>
        <w:wordWrap/>
        <w:adjustRightInd/>
        <w:snapToGrid/>
        <w:spacing w:line="520" w:lineRule="exact"/>
        <w:ind w:left="0" w:leftChars="0" w:firstLine="640" w:firstLineChars="200"/>
        <w:jc w:val="left"/>
        <w:textAlignment w:val="auto"/>
        <w:outlineLvl w:val="9"/>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未完成指标的原因分析</w:t>
      </w:r>
    </w:p>
    <w:p>
      <w:pPr>
        <w:widowControl w:val="0"/>
        <w:wordWrap/>
        <w:adjustRightInd/>
        <w:snapToGrid/>
        <w:spacing w:line="520" w:lineRule="exact"/>
        <w:ind w:left="0" w:leftChars="0" w:firstLine="640" w:firstLineChars="200"/>
        <w:jc w:val="left"/>
        <w:textAlignment w:val="auto"/>
        <w:outlineLvl w:val="9"/>
        <w:rPr>
          <w:rFonts w:ascii="仿宋" w:hAnsi="仿宋" w:eastAsia="仿宋"/>
          <w:sz w:val="32"/>
          <w:szCs w:val="32"/>
        </w:rPr>
      </w:pPr>
      <w:bookmarkStart w:id="5" w:name="_Hlk513110291"/>
      <w:r>
        <w:rPr>
          <w:rFonts w:hint="eastAsia" w:ascii="仿宋" w:hAnsi="仿宋" w:eastAsia="仿宋"/>
          <w:sz w:val="32"/>
          <w:szCs w:val="32"/>
        </w:rPr>
        <w:t>主要未完成指标为年度组织委员视察活动次数、年度组织调研次数、专题调研报告和专项建议被各级党政机关采用篇数。主要原因系年初设定指标时，将视察、调研次数合并统计，而本次是分开进行核算，导致实际完成值远小于年度指标。</w:t>
      </w:r>
    </w:p>
    <w:bookmarkEnd w:id="5"/>
    <w:p>
      <w:pPr>
        <w:widowControl w:val="0"/>
        <w:wordWrap/>
        <w:adjustRightInd/>
        <w:snapToGrid/>
        <w:spacing w:line="520" w:lineRule="exact"/>
        <w:ind w:left="0" w:leftChars="0" w:right="-197" w:rightChars="-94" w:firstLine="640" w:firstLineChars="200"/>
        <w:jc w:val="left"/>
        <w:textAlignment w:val="auto"/>
        <w:outlineLvl w:val="9"/>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已完成指标且超出指标目标值30%以上的原因分析</w:t>
      </w:r>
    </w:p>
    <w:p>
      <w:pPr>
        <w:widowControl w:val="0"/>
        <w:wordWrap/>
        <w:adjustRightInd/>
        <w:snapToGrid/>
        <w:spacing w:line="520" w:lineRule="exact"/>
        <w:ind w:left="0" w:leftChars="0" w:firstLine="640" w:firstLineChars="200"/>
        <w:jc w:val="left"/>
        <w:textAlignment w:val="auto"/>
        <w:outlineLvl w:val="9"/>
        <w:rPr>
          <w:rFonts w:ascii="仿宋" w:hAnsi="仿宋" w:eastAsia="仿宋"/>
          <w:sz w:val="32"/>
          <w:szCs w:val="32"/>
        </w:rPr>
      </w:pPr>
      <w:r>
        <w:rPr>
          <w:rFonts w:hint="eastAsia" w:ascii="仿宋" w:hAnsi="仿宋" w:eastAsia="仿宋"/>
          <w:sz w:val="32"/>
          <w:szCs w:val="32"/>
        </w:rPr>
        <w:t>无已完成且超出指标目标值3</w:t>
      </w:r>
      <w:r>
        <w:rPr>
          <w:rFonts w:ascii="仿宋" w:hAnsi="仿宋" w:eastAsia="仿宋"/>
          <w:sz w:val="32"/>
          <w:szCs w:val="32"/>
        </w:rPr>
        <w:t>0%</w:t>
      </w:r>
      <w:r>
        <w:rPr>
          <w:rFonts w:hint="eastAsia" w:ascii="仿宋" w:hAnsi="仿宋" w:eastAsia="仿宋"/>
          <w:sz w:val="32"/>
          <w:szCs w:val="32"/>
        </w:rPr>
        <w:t>以上的指标。</w:t>
      </w:r>
    </w:p>
    <w:p>
      <w:pPr>
        <w:spacing w:line="480" w:lineRule="auto"/>
        <w:ind w:firstLine="643" w:firstLineChars="200"/>
        <w:jc w:val="left"/>
        <w:rPr>
          <w:rFonts w:ascii="楷体" w:hAnsi="楷体" w:eastAsia="楷体"/>
          <w:b/>
          <w:sz w:val="32"/>
          <w:szCs w:val="32"/>
        </w:rPr>
      </w:pPr>
      <w:r>
        <w:rPr>
          <w:rFonts w:hint="eastAsia" w:ascii="楷体" w:hAnsi="楷体" w:eastAsia="楷体"/>
          <w:b/>
          <w:sz w:val="32"/>
          <w:szCs w:val="32"/>
        </w:rPr>
        <w:t>（三）绩效指标数据来源及获取方式</w:t>
      </w:r>
    </w:p>
    <w:p>
      <w:pPr>
        <w:widowControl w:val="0"/>
        <w:wordWrap/>
        <w:adjustRightInd/>
        <w:snapToGrid/>
        <w:spacing w:line="520" w:lineRule="exact"/>
        <w:ind w:left="0" w:leftChars="0" w:right="0" w:firstLine="640" w:firstLineChars="0"/>
        <w:jc w:val="both"/>
        <w:textAlignment w:val="auto"/>
        <w:outlineLvl w:val="9"/>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017</w:t>
      </w:r>
      <w:r>
        <w:rPr>
          <w:rFonts w:hint="eastAsia" w:ascii="仿宋" w:hAnsi="仿宋" w:eastAsia="仿宋"/>
          <w:sz w:val="32"/>
          <w:szCs w:val="32"/>
        </w:rPr>
        <w:t>年度整体支出绩效指标的年初目标值，是通过收集过去三年完成值平均值、以前年度完成值、平均趋势、经验标准等，以此为基础，进行综合研判</w:t>
      </w:r>
      <w:r>
        <w:rPr>
          <w:rFonts w:hint="eastAsia" w:ascii="仿宋" w:hAnsi="仿宋" w:eastAsia="仿宋"/>
          <w:sz w:val="32"/>
          <w:szCs w:val="32"/>
          <w:lang w:eastAsia="zh-CN"/>
        </w:rPr>
        <w:t>，来</w:t>
      </w:r>
      <w:r>
        <w:rPr>
          <w:rFonts w:hint="eastAsia" w:ascii="仿宋" w:hAnsi="仿宋" w:eastAsia="仿宋"/>
          <w:sz w:val="32"/>
          <w:szCs w:val="32"/>
        </w:rPr>
        <w:t>确定截至2</w:t>
      </w:r>
      <w:r>
        <w:rPr>
          <w:rFonts w:ascii="仿宋" w:hAnsi="仿宋" w:eastAsia="仿宋"/>
          <w:sz w:val="32"/>
          <w:szCs w:val="32"/>
        </w:rPr>
        <w:t>017</w:t>
      </w:r>
      <w:r>
        <w:rPr>
          <w:rFonts w:hint="eastAsia" w:ascii="仿宋" w:hAnsi="仿宋" w:eastAsia="仿宋"/>
          <w:sz w:val="32"/>
          <w:szCs w:val="32"/>
        </w:rPr>
        <w:t>年末整体支出绩效指标预期要达到的目标值。实际完成值数据则是通过收集相关处室业务档案、</w:t>
      </w:r>
      <w:r>
        <w:rPr>
          <w:rFonts w:hint="eastAsia" w:ascii="仿宋" w:hAnsi="仿宋" w:eastAsia="仿宋"/>
          <w:sz w:val="32"/>
          <w:szCs w:val="32"/>
          <w:lang w:eastAsia="zh-CN"/>
        </w:rPr>
        <w:t>工作</w:t>
      </w:r>
      <w:r>
        <w:rPr>
          <w:rFonts w:hint="eastAsia" w:ascii="仿宋" w:hAnsi="仿宋" w:eastAsia="仿宋"/>
          <w:sz w:val="32"/>
          <w:szCs w:val="32"/>
        </w:rPr>
        <w:t>台账、</w:t>
      </w:r>
      <w:r>
        <w:rPr>
          <w:rFonts w:hint="eastAsia" w:ascii="仿宋" w:hAnsi="仿宋" w:eastAsia="仿宋"/>
          <w:sz w:val="32"/>
          <w:szCs w:val="32"/>
          <w:lang w:eastAsia="zh-CN"/>
        </w:rPr>
        <w:t>工作方案、</w:t>
      </w:r>
      <w:r>
        <w:rPr>
          <w:rFonts w:hint="eastAsia" w:ascii="仿宋" w:hAnsi="仿宋" w:eastAsia="仿宋"/>
          <w:sz w:val="32"/>
          <w:szCs w:val="32"/>
        </w:rPr>
        <w:t>处室工作总结、会议总结、视察报告、调研报告、调查问卷等来收集。</w:t>
      </w:r>
    </w:p>
    <w:p>
      <w:pPr>
        <w:spacing w:line="480" w:lineRule="auto"/>
        <w:ind w:right="42" w:rightChars="20" w:firstLine="640" w:firstLineChars="200"/>
        <w:rPr>
          <w:rFonts w:ascii="黑体" w:hAnsi="黑体" w:eastAsia="黑体"/>
          <w:sz w:val="32"/>
          <w:szCs w:val="32"/>
        </w:rPr>
      </w:pPr>
      <w:r>
        <w:rPr>
          <w:rFonts w:hint="eastAsia" w:ascii="黑体" w:hAnsi="黑体" w:eastAsia="黑体"/>
          <w:sz w:val="32"/>
          <w:szCs w:val="32"/>
        </w:rPr>
        <w:t>四、下一步工作安排</w:t>
      </w:r>
    </w:p>
    <w:p>
      <w:pPr>
        <w:spacing w:line="480" w:lineRule="auto"/>
        <w:ind w:firstLine="643" w:firstLineChars="200"/>
        <w:jc w:val="left"/>
        <w:rPr>
          <w:rFonts w:ascii="楷体" w:hAnsi="楷体" w:eastAsia="楷体"/>
          <w:b/>
          <w:sz w:val="32"/>
          <w:szCs w:val="32"/>
        </w:rPr>
      </w:pPr>
      <w:r>
        <w:rPr>
          <w:rFonts w:hint="eastAsia" w:ascii="楷体" w:hAnsi="楷体" w:eastAsia="楷体"/>
          <w:b/>
          <w:sz w:val="32"/>
          <w:szCs w:val="32"/>
        </w:rPr>
        <w:t>（一）应用绩效评价结果拟采取的工作措施</w:t>
      </w:r>
    </w:p>
    <w:p>
      <w:pPr>
        <w:widowControl w:val="0"/>
        <w:wordWrap/>
        <w:adjustRightInd/>
        <w:snapToGrid/>
        <w:spacing w:line="520" w:lineRule="exact"/>
        <w:ind w:left="0" w:leftChars="0" w:right="42" w:rightChars="20" w:firstLine="640" w:firstLineChars="200"/>
        <w:jc w:val="left"/>
        <w:textAlignment w:val="auto"/>
        <w:outlineLvl w:val="9"/>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017</w:t>
      </w:r>
      <w:r>
        <w:rPr>
          <w:rFonts w:hint="eastAsia" w:ascii="仿宋" w:hAnsi="仿宋" w:eastAsia="仿宋"/>
          <w:sz w:val="32"/>
          <w:szCs w:val="32"/>
        </w:rPr>
        <w:t>年度，湖北省政协办公厅整体支出绩效目标得以有效完成。对于自评结果，拟通过以下几种方式予以应用：一是自评报告经领导审批后，在网站公开，接受公众监督；二是结果反馈，问题整改。将自评结果反馈至相关处室，并督促将项目实施中存在的问题予以整改；三是将自评结果与下年度预算安排相结合，采用不同的方式对下年度项目预算资金予以保障；四是加强培训，增强业务科室绩效意识，主动地将评价结果与科室的工作业绩挂钩，提高绩效自评工作质量。</w:t>
      </w:r>
    </w:p>
    <w:p>
      <w:pPr>
        <w:spacing w:line="480" w:lineRule="auto"/>
        <w:ind w:firstLine="643" w:firstLineChars="200"/>
        <w:jc w:val="left"/>
        <w:rPr>
          <w:rFonts w:ascii="楷体" w:hAnsi="楷体" w:eastAsia="楷体"/>
          <w:b/>
          <w:sz w:val="32"/>
          <w:szCs w:val="32"/>
        </w:rPr>
      </w:pPr>
      <w:r>
        <w:rPr>
          <w:rFonts w:hint="eastAsia" w:ascii="楷体" w:hAnsi="楷体" w:eastAsia="楷体"/>
          <w:b/>
          <w:sz w:val="32"/>
          <w:szCs w:val="32"/>
        </w:rPr>
        <w:t>（二）对绩效目标和指标体系的建议</w:t>
      </w:r>
    </w:p>
    <w:p>
      <w:pPr>
        <w:widowControl w:val="0"/>
        <w:wordWrap/>
        <w:adjustRightInd/>
        <w:snapToGrid/>
        <w:spacing w:line="520" w:lineRule="exact"/>
        <w:ind w:left="0" w:leftChars="0" w:right="0" w:firstLine="601" w:firstLineChars="188"/>
        <w:jc w:val="left"/>
        <w:textAlignment w:val="auto"/>
        <w:outlineLvl w:val="9"/>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018</w:t>
      </w:r>
      <w:r>
        <w:rPr>
          <w:rFonts w:hint="eastAsia" w:ascii="仿宋" w:hAnsi="仿宋" w:eastAsia="仿宋"/>
          <w:sz w:val="32"/>
          <w:szCs w:val="32"/>
        </w:rPr>
        <w:t>年度，我们将</w:t>
      </w:r>
      <w:r>
        <w:rPr>
          <w:rFonts w:ascii="仿宋" w:hAnsi="仿宋" w:eastAsia="仿宋"/>
          <w:sz w:val="32"/>
          <w:szCs w:val="32"/>
        </w:rPr>
        <w:t>进一步规范绩效目标编制。</w:t>
      </w:r>
      <w:r>
        <w:rPr>
          <w:rFonts w:hint="eastAsia" w:ascii="仿宋" w:hAnsi="仿宋" w:eastAsia="仿宋"/>
          <w:sz w:val="32"/>
          <w:szCs w:val="32"/>
        </w:rPr>
        <w:t>首先，在编制年初预算时，设立整体支出目标和指标。整体支出绩效目标应与当年工作目标、工作重点紧密结合，突出重点工作内容。跟踪预算执行动态变化过程，重点研究预算执行过程中出现的各种问题，强化预算执行全过程的管理，并准确预测预算收支的发展趋势。提炼出</w:t>
      </w:r>
      <w:r>
        <w:rPr>
          <w:rFonts w:ascii="仿宋" w:hAnsi="仿宋" w:eastAsia="仿宋"/>
          <w:sz w:val="32"/>
          <w:szCs w:val="32"/>
        </w:rPr>
        <w:t>指向明确、</w:t>
      </w:r>
      <w:r>
        <w:rPr>
          <w:rFonts w:hint="eastAsia" w:ascii="仿宋" w:hAnsi="仿宋" w:eastAsia="仿宋"/>
          <w:sz w:val="32"/>
          <w:szCs w:val="32"/>
        </w:rPr>
        <w:t>具体、可</w:t>
      </w:r>
      <w:r>
        <w:rPr>
          <w:rFonts w:ascii="仿宋" w:hAnsi="仿宋" w:eastAsia="仿宋"/>
          <w:sz w:val="32"/>
          <w:szCs w:val="32"/>
        </w:rPr>
        <w:t>量化、</w:t>
      </w:r>
      <w:r>
        <w:rPr>
          <w:rFonts w:hint="eastAsia" w:ascii="仿宋" w:hAnsi="仿宋" w:eastAsia="仿宋"/>
          <w:sz w:val="32"/>
          <w:szCs w:val="32"/>
        </w:rPr>
        <w:t>与资金</w:t>
      </w:r>
      <w:r>
        <w:rPr>
          <w:rFonts w:ascii="仿宋" w:hAnsi="仿宋" w:eastAsia="仿宋"/>
          <w:sz w:val="32"/>
          <w:szCs w:val="32"/>
        </w:rPr>
        <w:t>相匹配</w:t>
      </w:r>
      <w:r>
        <w:rPr>
          <w:rFonts w:hint="eastAsia" w:ascii="仿宋" w:hAnsi="仿宋" w:eastAsia="仿宋"/>
          <w:sz w:val="32"/>
          <w:szCs w:val="32"/>
        </w:rPr>
        <w:t>的绩效指标，避免指标简单易达问题，将绩效评价工作落到实处，使评价结果能够发挥更大的作用。</w:t>
      </w:r>
    </w:p>
    <w:p>
      <w:pPr>
        <w:spacing w:line="480" w:lineRule="auto"/>
        <w:rPr>
          <w:rFonts w:hint="eastAsia" w:ascii="仿宋_GB2312" w:hAnsi="仿宋" w:eastAsia="仿宋_GB2312"/>
          <w:sz w:val="32"/>
          <w:szCs w:val="32"/>
        </w:rPr>
      </w:pPr>
    </w:p>
    <w:p>
      <w:pPr>
        <w:spacing w:line="480" w:lineRule="auto"/>
        <w:rPr>
          <w:rFonts w:ascii="仿宋" w:hAnsi="仿宋" w:eastAsia="仿宋"/>
          <w:sz w:val="32"/>
          <w:szCs w:val="32"/>
        </w:rPr>
      </w:pPr>
      <w:r>
        <w:rPr>
          <w:rFonts w:hint="eastAsia" w:ascii="仿宋" w:hAnsi="仿宋" w:eastAsia="仿宋"/>
          <w:sz w:val="32"/>
          <w:szCs w:val="32"/>
        </w:rPr>
        <w:t>附：201</w:t>
      </w:r>
      <w:r>
        <w:rPr>
          <w:rFonts w:ascii="仿宋" w:hAnsi="仿宋" w:eastAsia="仿宋"/>
          <w:sz w:val="32"/>
          <w:szCs w:val="32"/>
        </w:rPr>
        <w:t>7</w:t>
      </w:r>
      <w:r>
        <w:rPr>
          <w:rFonts w:hint="eastAsia" w:ascii="仿宋" w:hAnsi="仿宋" w:eastAsia="仿宋"/>
          <w:sz w:val="32"/>
          <w:szCs w:val="32"/>
        </w:rPr>
        <w:t>年整体支出绩效自评表</w:t>
      </w:r>
    </w:p>
    <w:sectPr>
      <w:headerReference r:id="rId4" w:type="default"/>
      <w:footerReference r:id="rId5" w:type="default"/>
      <w:pgSz w:w="11906" w:h="16838"/>
      <w:pgMar w:top="1440" w:right="1558"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A00002EF" w:usb1="4000207B" w:usb2="00000000" w:usb3="00000000" w:csb0="2000009F" w:csb1="00000000"/>
  </w:font>
  <w:font w:name="方正小标宋简体">
    <w:altName w:val="微软雅黑"/>
    <w:panose1 w:val="00000000000000000000"/>
    <w:charset w:val="86"/>
    <w:family w:val="auto"/>
    <w:pitch w:val="default"/>
    <w:sig w:usb0="00000000" w:usb1="080E0000" w:usb2="00000010" w:usb3="00000000" w:csb0="00040000" w:csb1="00000000"/>
  </w:font>
  <w:font w:name="仿宋">
    <w:altName w:val="仿宋_GB2312"/>
    <w:panose1 w:val="02010609060101010101"/>
    <w:charset w:val="86"/>
    <w:family w:val="auto"/>
    <w:pitch w:val="default"/>
    <w:sig w:usb0="800002BF" w:usb1="38CF7CFA" w:usb2="00000016" w:usb3="00000000" w:csb0="00040001" w:csb1="00000000"/>
  </w:font>
  <w:font w:name="楷体">
    <w:altName w:val="楷体_GB2312"/>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黑体"/>
        <w:kern w:val="2"/>
        <w:sz w:val="18"/>
        <w:szCs w:val="18"/>
        <w:lang w:val="en-US" w:eastAsia="zh-CN" w:bidi="ar-SA"/>
      </w:rPr>
      <w:pict>
        <v:shape id="文本框 1"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04347"/>
    <w:rsid w:val="0000581A"/>
    <w:rsid w:val="000177CB"/>
    <w:rsid w:val="00031CBC"/>
    <w:rsid w:val="00050D7E"/>
    <w:rsid w:val="00081EA6"/>
    <w:rsid w:val="00083A4D"/>
    <w:rsid w:val="0009718E"/>
    <w:rsid w:val="000C3BE6"/>
    <w:rsid w:val="000C4AC1"/>
    <w:rsid w:val="000E6F8A"/>
    <w:rsid w:val="000F69CB"/>
    <w:rsid w:val="00106348"/>
    <w:rsid w:val="00107431"/>
    <w:rsid w:val="00123269"/>
    <w:rsid w:val="00123616"/>
    <w:rsid w:val="0012599D"/>
    <w:rsid w:val="00137AF5"/>
    <w:rsid w:val="00147069"/>
    <w:rsid w:val="001A4181"/>
    <w:rsid w:val="001C04F0"/>
    <w:rsid w:val="001C3DA0"/>
    <w:rsid w:val="001C7FB2"/>
    <w:rsid w:val="001D0343"/>
    <w:rsid w:val="001D36A3"/>
    <w:rsid w:val="001F47C8"/>
    <w:rsid w:val="00206B8C"/>
    <w:rsid w:val="00206F6A"/>
    <w:rsid w:val="0021023A"/>
    <w:rsid w:val="0025676A"/>
    <w:rsid w:val="00271F4C"/>
    <w:rsid w:val="00281944"/>
    <w:rsid w:val="00290FCD"/>
    <w:rsid w:val="002B1713"/>
    <w:rsid w:val="002F766D"/>
    <w:rsid w:val="00303120"/>
    <w:rsid w:val="003152B3"/>
    <w:rsid w:val="003239AA"/>
    <w:rsid w:val="00343DDA"/>
    <w:rsid w:val="00344B1B"/>
    <w:rsid w:val="003706A4"/>
    <w:rsid w:val="00370785"/>
    <w:rsid w:val="0037365A"/>
    <w:rsid w:val="00373FD3"/>
    <w:rsid w:val="00375EE1"/>
    <w:rsid w:val="003811E6"/>
    <w:rsid w:val="0040788E"/>
    <w:rsid w:val="00422C95"/>
    <w:rsid w:val="00422DE1"/>
    <w:rsid w:val="0045591D"/>
    <w:rsid w:val="0049453B"/>
    <w:rsid w:val="004962F6"/>
    <w:rsid w:val="00496BC4"/>
    <w:rsid w:val="004B5E16"/>
    <w:rsid w:val="004D0462"/>
    <w:rsid w:val="004E40A0"/>
    <w:rsid w:val="004F23A7"/>
    <w:rsid w:val="004F4A7C"/>
    <w:rsid w:val="00520571"/>
    <w:rsid w:val="00530380"/>
    <w:rsid w:val="005C39E3"/>
    <w:rsid w:val="005C482C"/>
    <w:rsid w:val="005E2E16"/>
    <w:rsid w:val="005F4FC1"/>
    <w:rsid w:val="006029EB"/>
    <w:rsid w:val="006103D4"/>
    <w:rsid w:val="00620B3C"/>
    <w:rsid w:val="00631FB2"/>
    <w:rsid w:val="00647628"/>
    <w:rsid w:val="00674438"/>
    <w:rsid w:val="006A10BD"/>
    <w:rsid w:val="006B364F"/>
    <w:rsid w:val="006C4ADD"/>
    <w:rsid w:val="006F51DE"/>
    <w:rsid w:val="00707E8D"/>
    <w:rsid w:val="00722254"/>
    <w:rsid w:val="00726D8E"/>
    <w:rsid w:val="00734778"/>
    <w:rsid w:val="0074311F"/>
    <w:rsid w:val="00747F85"/>
    <w:rsid w:val="00750172"/>
    <w:rsid w:val="00764B7C"/>
    <w:rsid w:val="007A192B"/>
    <w:rsid w:val="007B57B9"/>
    <w:rsid w:val="007C2374"/>
    <w:rsid w:val="00803785"/>
    <w:rsid w:val="00810808"/>
    <w:rsid w:val="00830582"/>
    <w:rsid w:val="00830E63"/>
    <w:rsid w:val="008361C4"/>
    <w:rsid w:val="00843DD3"/>
    <w:rsid w:val="00847930"/>
    <w:rsid w:val="008556B7"/>
    <w:rsid w:val="00865DE3"/>
    <w:rsid w:val="00900585"/>
    <w:rsid w:val="00941E39"/>
    <w:rsid w:val="00944180"/>
    <w:rsid w:val="00972FED"/>
    <w:rsid w:val="009839CA"/>
    <w:rsid w:val="009E7B85"/>
    <w:rsid w:val="009F12C6"/>
    <w:rsid w:val="00A02A90"/>
    <w:rsid w:val="00A1091C"/>
    <w:rsid w:val="00A1301C"/>
    <w:rsid w:val="00A353F6"/>
    <w:rsid w:val="00A3643A"/>
    <w:rsid w:val="00A45398"/>
    <w:rsid w:val="00A60DEE"/>
    <w:rsid w:val="00A71E98"/>
    <w:rsid w:val="00A73481"/>
    <w:rsid w:val="00A83EC4"/>
    <w:rsid w:val="00AB795A"/>
    <w:rsid w:val="00AE55E7"/>
    <w:rsid w:val="00AE7514"/>
    <w:rsid w:val="00AF79A0"/>
    <w:rsid w:val="00B0669D"/>
    <w:rsid w:val="00B205D1"/>
    <w:rsid w:val="00B262FE"/>
    <w:rsid w:val="00B363CA"/>
    <w:rsid w:val="00B47040"/>
    <w:rsid w:val="00B505D9"/>
    <w:rsid w:val="00B51518"/>
    <w:rsid w:val="00B63745"/>
    <w:rsid w:val="00BA3053"/>
    <w:rsid w:val="00BA3EB7"/>
    <w:rsid w:val="00BE02C6"/>
    <w:rsid w:val="00BF7574"/>
    <w:rsid w:val="00C028AF"/>
    <w:rsid w:val="00C11E1D"/>
    <w:rsid w:val="00C60709"/>
    <w:rsid w:val="00C62018"/>
    <w:rsid w:val="00C62B78"/>
    <w:rsid w:val="00C70DE3"/>
    <w:rsid w:val="00C71876"/>
    <w:rsid w:val="00CC5EA4"/>
    <w:rsid w:val="00CE7191"/>
    <w:rsid w:val="00D04347"/>
    <w:rsid w:val="00D051F0"/>
    <w:rsid w:val="00D24148"/>
    <w:rsid w:val="00D35AC7"/>
    <w:rsid w:val="00D72093"/>
    <w:rsid w:val="00D7213C"/>
    <w:rsid w:val="00D84E31"/>
    <w:rsid w:val="00D94822"/>
    <w:rsid w:val="00DB626A"/>
    <w:rsid w:val="00DC27FD"/>
    <w:rsid w:val="00DE08EC"/>
    <w:rsid w:val="00E057B8"/>
    <w:rsid w:val="00E14A8F"/>
    <w:rsid w:val="00E441C4"/>
    <w:rsid w:val="00E5602B"/>
    <w:rsid w:val="00E60D95"/>
    <w:rsid w:val="00E67222"/>
    <w:rsid w:val="00E8150C"/>
    <w:rsid w:val="00EA278E"/>
    <w:rsid w:val="00ED309B"/>
    <w:rsid w:val="00F068F2"/>
    <w:rsid w:val="00F23D6F"/>
    <w:rsid w:val="00F27B02"/>
    <w:rsid w:val="00F51E7C"/>
    <w:rsid w:val="00F623DE"/>
    <w:rsid w:val="00F7208C"/>
    <w:rsid w:val="00FD35EE"/>
    <w:rsid w:val="00FD5A54"/>
    <w:rsid w:val="00FF60A2"/>
    <w:rsid w:val="063D3E6C"/>
    <w:rsid w:val="077D51DF"/>
    <w:rsid w:val="0B1A7BC1"/>
    <w:rsid w:val="0B4F30D9"/>
    <w:rsid w:val="0DEF7B6E"/>
    <w:rsid w:val="1688505F"/>
    <w:rsid w:val="16EE4BB4"/>
    <w:rsid w:val="17695E4D"/>
    <w:rsid w:val="17C22EE7"/>
    <w:rsid w:val="19B54BA4"/>
    <w:rsid w:val="228D60E2"/>
    <w:rsid w:val="24132FC1"/>
    <w:rsid w:val="26DB0A9B"/>
    <w:rsid w:val="287D669C"/>
    <w:rsid w:val="29725635"/>
    <w:rsid w:val="2B1168FF"/>
    <w:rsid w:val="2C453B4A"/>
    <w:rsid w:val="327E37B4"/>
    <w:rsid w:val="375865B5"/>
    <w:rsid w:val="39241035"/>
    <w:rsid w:val="43464A4B"/>
    <w:rsid w:val="44973740"/>
    <w:rsid w:val="4AD91E4E"/>
    <w:rsid w:val="4B332E72"/>
    <w:rsid w:val="4BA84341"/>
    <w:rsid w:val="4BC81ECA"/>
    <w:rsid w:val="4DC22B3F"/>
    <w:rsid w:val="5BEA7218"/>
    <w:rsid w:val="60E87DA1"/>
    <w:rsid w:val="6A82735F"/>
    <w:rsid w:val="7C141DA2"/>
    <w:rsid w:val="7F7B19B9"/>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7">
    <w:name w:val="List Paragraph"/>
    <w:basedOn w:val="1"/>
    <w:qFormat/>
    <w:uiPriority w:val="34"/>
    <w:pPr>
      <w:ind w:firstLine="420" w:firstLineChars="200"/>
    </w:pPr>
  </w:style>
  <w:style w:type="character" w:customStyle="1" w:styleId="8">
    <w:name w:val="页眉 Char"/>
    <w:basedOn w:val="5"/>
    <w:link w:val="3"/>
    <w:uiPriority w:val="99"/>
    <w:rPr>
      <w:sz w:val="18"/>
      <w:szCs w:val="18"/>
    </w:rPr>
  </w:style>
  <w:style w:type="character" w:customStyle="1" w:styleId="9">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2845</Words>
  <Characters>2988</Characters>
  <Lines>157</Lines>
  <Paragraphs>108</Paragraphs>
  <TotalTime>0</TotalTime>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2018-06-27T07:20:00Z</dcterms:created>
  <dc:creator>冯妍妍/预算绩效管理处（行资处）/湖北省财政厅</dc:creator>
  <cp:lastModifiedBy>Administrator</cp:lastModifiedBy>
  <cp:lastPrinted>2018-06-28T02:41:39Z</cp:lastPrinted>
  <dcterms:modified xsi:type="dcterms:W3CDTF">2018-06-28T02:56:45Z</dcterms:modified>
  <dc:title>湖北省政协办公厅</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