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b w:val="0"/>
          <w:i w:val="0"/>
          <w:caps w:val="0"/>
          <w:color w:val="333333"/>
          <w:spacing w:val="0"/>
          <w:sz w:val="44"/>
          <w:szCs w:val="44"/>
          <w:shd w:val="clear" w:fill="FFFFFF"/>
        </w:rPr>
      </w:pPr>
      <w:r>
        <w:rPr>
          <w:rFonts w:hint="eastAsia" w:ascii="黑体" w:hAnsi="黑体" w:eastAsia="黑体" w:cs="黑体"/>
          <w:b w:val="0"/>
          <w:i w:val="0"/>
          <w:caps w:val="0"/>
          <w:color w:val="333333"/>
          <w:spacing w:val="0"/>
          <w:sz w:val="44"/>
          <w:szCs w:val="44"/>
          <w:shd w:val="clear" w:fill="FFFFFF"/>
          <w:lang w:eastAsia="zh-CN"/>
        </w:rPr>
        <w:t>关于预决算公开的</w:t>
      </w:r>
      <w:r>
        <w:rPr>
          <w:rFonts w:hint="eastAsia" w:ascii="黑体" w:hAnsi="黑体" w:eastAsia="黑体" w:cs="黑体"/>
          <w:b w:val="0"/>
          <w:i w:val="0"/>
          <w:caps w:val="0"/>
          <w:color w:val="333333"/>
          <w:spacing w:val="0"/>
          <w:sz w:val="44"/>
          <w:szCs w:val="44"/>
          <w:shd w:val="clear" w:fill="FFFFFF"/>
        </w:rPr>
        <w:t>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b w:val="0"/>
          <w:i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shd w:val="clear" w:fill="FFFFFF"/>
        </w:rPr>
        <w:t>　　1、财政拨款：指省级财政当年拨付的资金。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shd w:val="clear" w:fill="FFFFFF"/>
        </w:rPr>
        <w:t>　　2、事业收入：指事业单位开展专业业务活动及辅助活动取得的收入。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shd w:val="clear" w:fill="FFFFFF"/>
        </w:rPr>
        <w:t>　　3、事业单位经营收入：指事业单位在专业业务活动及辅助活动之外开展非独立核算经营活动取得的收入。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shd w:val="clear" w:fill="FFFFFF"/>
        </w:rPr>
        <w:t>　　4、其他收入：指部门取得的除“财政拨款”、“事业收入”、“事业单位经营收入”等以外的收入，包括利息收入、捐赠收入等。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shd w:val="clear" w:fill="FFFFFF"/>
        </w:rPr>
        <w:t>　　5、上年结转：指以前年度尚未完成、结转到本年仍按原规定用途继续使用的资金。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shd w:val="clear" w:fill="FFFFFF"/>
        </w:rPr>
        <w:t>　　6、动用事业基金：指事业单位在预计用“财政拨款”、“事业收入”、“事业单位经营收入”和“其他收入”不足以安排支出的情况下，使用以前年度积累的事业基金弥补本年度收支缺口的资金。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shd w:val="clear" w:fill="FFFFFF"/>
        </w:rPr>
        <w:t>　　7、基本支出：指为保证机构正常运转、完成日常工作任务所必需的人员经费和日常公用经费。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shd w:val="clear" w:fill="FFFFFF"/>
        </w:rPr>
        <w:t>　　8、项目支出：指在基本支出之外，为完成特定的行政工作任务和事业发展目标发生的支出。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shd w:val="clear" w:fill="FFFFFF"/>
        </w:rPr>
        <w:t>　　9、结转下年：指以前年度预算安排，因客观条件发生变化无法按原计划实施，需延迟到以后年度按原规定用途继续使用的资金。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shd w:val="clear" w:fill="FFFFFF"/>
        </w:rPr>
        <w:t>　　1</w:t>
      </w:r>
      <w:r>
        <w:rPr>
          <w:rFonts w:hint="eastAsia" w:ascii="宋体" w:hAnsi="宋体" w:eastAsia="宋体" w:cs="宋体"/>
          <w:b w:val="0"/>
          <w:i w:val="0"/>
          <w:caps w:val="0"/>
          <w:color w:val="333333"/>
          <w:spacing w:val="0"/>
          <w:sz w:val="30"/>
          <w:szCs w:val="30"/>
          <w:shd w:val="clear" w:fill="FFFFFF"/>
          <w:lang w:val="en-US" w:eastAsia="zh-CN"/>
        </w:rPr>
        <w:t>0</w:t>
      </w:r>
      <w:r>
        <w:rPr>
          <w:rFonts w:hint="eastAsia" w:ascii="宋体" w:hAnsi="宋体" w:eastAsia="宋体" w:cs="宋体"/>
          <w:b w:val="0"/>
          <w:i w:val="0"/>
          <w:caps w:val="0"/>
          <w:color w:val="333333"/>
          <w:spacing w:val="0"/>
          <w:sz w:val="30"/>
          <w:szCs w:val="30"/>
          <w:shd w:val="clear" w:fill="FFFFFF"/>
        </w:rPr>
        <w:t>、文化体育与传媒(类)文化(款)：反映政府用于公共文化设施、艺术表演团体及各类文化艺术活动等方面的支出。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shd w:val="clear" w:fill="FFFFFF"/>
        </w:rPr>
        <w:t>　　1</w:t>
      </w:r>
      <w:r>
        <w:rPr>
          <w:rFonts w:hint="eastAsia" w:ascii="宋体" w:hAnsi="宋体" w:eastAsia="宋体" w:cs="宋体"/>
          <w:b w:val="0"/>
          <w:i w:val="0"/>
          <w:caps w:val="0"/>
          <w:color w:val="333333"/>
          <w:spacing w:val="0"/>
          <w:sz w:val="30"/>
          <w:szCs w:val="30"/>
          <w:shd w:val="clear" w:fill="FFFFFF"/>
          <w:lang w:val="en-US" w:eastAsia="zh-CN"/>
        </w:rPr>
        <w:t>1</w:t>
      </w:r>
      <w:r>
        <w:rPr>
          <w:rFonts w:hint="eastAsia" w:ascii="宋体" w:hAnsi="宋体" w:eastAsia="宋体" w:cs="宋体"/>
          <w:b w:val="0"/>
          <w:i w:val="0"/>
          <w:caps w:val="0"/>
          <w:color w:val="333333"/>
          <w:spacing w:val="0"/>
          <w:sz w:val="30"/>
          <w:szCs w:val="30"/>
          <w:shd w:val="clear" w:fill="FFFFFF"/>
        </w:rPr>
        <w:t>、文化体育与传媒(类)文化(款)行政运行（项）：主要反映厅本级在职人员支出及日常运转支出。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shd w:val="clear" w:fill="FFFFFF"/>
        </w:rPr>
        <w:t>　　1</w:t>
      </w:r>
      <w:r>
        <w:rPr>
          <w:rFonts w:hint="eastAsia" w:ascii="宋体" w:hAnsi="宋体" w:eastAsia="宋体" w:cs="宋体"/>
          <w:b w:val="0"/>
          <w:i w:val="0"/>
          <w:caps w:val="0"/>
          <w:color w:val="333333"/>
          <w:spacing w:val="0"/>
          <w:sz w:val="30"/>
          <w:szCs w:val="30"/>
          <w:shd w:val="clear" w:fill="FFFFFF"/>
          <w:lang w:val="en-US" w:eastAsia="zh-CN"/>
        </w:rPr>
        <w:t>2</w:t>
      </w:r>
      <w:r>
        <w:rPr>
          <w:rFonts w:hint="eastAsia" w:ascii="宋体" w:hAnsi="宋体" w:eastAsia="宋体" w:cs="宋体"/>
          <w:b w:val="0"/>
          <w:i w:val="0"/>
          <w:caps w:val="0"/>
          <w:color w:val="333333"/>
          <w:spacing w:val="0"/>
          <w:sz w:val="30"/>
          <w:szCs w:val="30"/>
          <w:shd w:val="clear" w:fill="FFFFFF"/>
        </w:rPr>
        <w:t>、文化体育与传媒(类)文化(款)其他文化支出（项）：反映除上述科目以外的其他文化方面的支出。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shd w:val="clear" w:fill="FFFFFF"/>
        </w:rPr>
        <w:t>　　</w:t>
      </w:r>
      <w:r>
        <w:rPr>
          <w:rFonts w:hint="eastAsia" w:ascii="宋体" w:hAnsi="宋体" w:eastAsia="宋体" w:cs="宋体"/>
          <w:b w:val="0"/>
          <w:i w:val="0"/>
          <w:caps w:val="0"/>
          <w:color w:val="333333"/>
          <w:spacing w:val="0"/>
          <w:sz w:val="30"/>
          <w:szCs w:val="30"/>
          <w:shd w:val="clear" w:fill="FFFFFF"/>
          <w:lang w:val="en-US" w:eastAsia="zh-CN"/>
        </w:rPr>
        <w:t>13</w:t>
      </w:r>
      <w:r>
        <w:rPr>
          <w:rFonts w:hint="eastAsia" w:ascii="宋体" w:hAnsi="宋体" w:eastAsia="宋体" w:cs="宋体"/>
          <w:b w:val="0"/>
          <w:i w:val="0"/>
          <w:caps w:val="0"/>
          <w:color w:val="333333"/>
          <w:spacing w:val="0"/>
          <w:sz w:val="30"/>
          <w:szCs w:val="30"/>
          <w:shd w:val="clear" w:fill="FFFFFF"/>
        </w:rPr>
        <w:t>、社会保障和就业(类)行政事业单位离退休(款)：反映用于行政事业单位离退休方面的支出。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shd w:val="clear" w:fill="FFFFFF"/>
        </w:rPr>
        <w:t>　　</w:t>
      </w:r>
      <w:r>
        <w:rPr>
          <w:rFonts w:hint="eastAsia" w:ascii="宋体" w:hAnsi="宋体" w:eastAsia="宋体" w:cs="宋体"/>
          <w:b w:val="0"/>
          <w:i w:val="0"/>
          <w:caps w:val="0"/>
          <w:color w:val="333333"/>
          <w:spacing w:val="0"/>
          <w:sz w:val="30"/>
          <w:szCs w:val="30"/>
          <w:shd w:val="clear" w:fill="FFFFFF"/>
          <w:lang w:val="en-US" w:eastAsia="zh-CN"/>
        </w:rPr>
        <w:t>14</w:t>
      </w:r>
      <w:r>
        <w:rPr>
          <w:rFonts w:hint="eastAsia" w:ascii="宋体" w:hAnsi="宋体" w:eastAsia="宋体" w:cs="宋体"/>
          <w:b w:val="0"/>
          <w:i w:val="0"/>
          <w:caps w:val="0"/>
          <w:color w:val="333333"/>
          <w:spacing w:val="0"/>
          <w:sz w:val="30"/>
          <w:szCs w:val="30"/>
          <w:shd w:val="clear" w:fill="FFFFFF"/>
        </w:rPr>
        <w:t>、社会保障和就业(类)行政事业单位离退休(款)归口管理的行政单位离退休（项）：主要反映厅本级及省文物局的离退休人员支出。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shd w:val="clear" w:fill="FFFFFF"/>
        </w:rPr>
        <w:t>　　</w:t>
      </w:r>
      <w:r>
        <w:rPr>
          <w:rFonts w:hint="eastAsia" w:ascii="宋体" w:hAnsi="宋体" w:eastAsia="宋体" w:cs="宋体"/>
          <w:b w:val="0"/>
          <w:i w:val="0"/>
          <w:caps w:val="0"/>
          <w:color w:val="333333"/>
          <w:spacing w:val="0"/>
          <w:sz w:val="30"/>
          <w:szCs w:val="30"/>
          <w:shd w:val="clear" w:fill="FFFFFF"/>
          <w:lang w:val="en-US" w:eastAsia="zh-CN"/>
        </w:rPr>
        <w:t>15</w:t>
      </w:r>
      <w:r>
        <w:rPr>
          <w:rFonts w:hint="eastAsia" w:ascii="宋体" w:hAnsi="宋体" w:eastAsia="宋体" w:cs="宋体"/>
          <w:b w:val="0"/>
          <w:i w:val="0"/>
          <w:caps w:val="0"/>
          <w:color w:val="333333"/>
          <w:spacing w:val="0"/>
          <w:sz w:val="30"/>
          <w:szCs w:val="30"/>
          <w:shd w:val="clear" w:fill="FFFFFF"/>
        </w:rPr>
        <w:t>、社会保障和就业(类)行政事业单位离退休(款)事业单位离退休（项）：主要反映省博物馆、文物考古所、省图书馆及其他文化文物事业单位的离退休人员支出。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shd w:val="clear" w:fill="FFFFFF"/>
        </w:rPr>
        <w:t>　　</w:t>
      </w:r>
      <w:r>
        <w:rPr>
          <w:rFonts w:hint="eastAsia" w:ascii="宋体" w:hAnsi="宋体" w:eastAsia="宋体" w:cs="宋体"/>
          <w:b w:val="0"/>
          <w:i w:val="0"/>
          <w:caps w:val="0"/>
          <w:color w:val="333333"/>
          <w:spacing w:val="0"/>
          <w:sz w:val="30"/>
          <w:szCs w:val="30"/>
          <w:shd w:val="clear" w:fill="FFFFFF"/>
          <w:lang w:val="en-US" w:eastAsia="zh-CN"/>
        </w:rPr>
        <w:t>16</w:t>
      </w:r>
      <w:r>
        <w:rPr>
          <w:rFonts w:hint="eastAsia" w:ascii="宋体" w:hAnsi="宋体" w:eastAsia="宋体" w:cs="宋体"/>
          <w:b w:val="0"/>
          <w:i w:val="0"/>
          <w:caps w:val="0"/>
          <w:color w:val="333333"/>
          <w:spacing w:val="0"/>
          <w:sz w:val="30"/>
          <w:szCs w:val="30"/>
          <w:shd w:val="clear" w:fill="FFFFFF"/>
        </w:rPr>
        <w:t>、医疗卫生(类)医疗保障(款)：反映用于医疗保障方面的支出。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shd w:val="clear" w:fill="FFFFFF"/>
        </w:rPr>
        <w:t>　　</w:t>
      </w:r>
      <w:r>
        <w:rPr>
          <w:rFonts w:hint="eastAsia" w:ascii="宋体" w:hAnsi="宋体" w:eastAsia="宋体" w:cs="宋体"/>
          <w:b w:val="0"/>
          <w:i w:val="0"/>
          <w:caps w:val="0"/>
          <w:color w:val="333333"/>
          <w:spacing w:val="0"/>
          <w:sz w:val="30"/>
          <w:szCs w:val="30"/>
          <w:shd w:val="clear" w:fill="FFFFFF"/>
          <w:lang w:val="en-US" w:eastAsia="zh-CN"/>
        </w:rPr>
        <w:t>17</w:t>
      </w:r>
      <w:r>
        <w:rPr>
          <w:rFonts w:hint="eastAsia" w:ascii="宋体" w:hAnsi="宋体" w:eastAsia="宋体" w:cs="宋体"/>
          <w:b w:val="0"/>
          <w:i w:val="0"/>
          <w:caps w:val="0"/>
          <w:color w:val="333333"/>
          <w:spacing w:val="0"/>
          <w:sz w:val="30"/>
          <w:szCs w:val="30"/>
          <w:shd w:val="clear" w:fill="FFFFFF"/>
        </w:rPr>
        <w:t>、医疗卫生(类)医疗保障(款)行政单位医疗（项）：主要反映行政单位在职人员、离退休人员医疗费支出。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shd w:val="clear" w:fill="FFFFFF"/>
        </w:rPr>
        <w:t>　　</w:t>
      </w:r>
      <w:r>
        <w:rPr>
          <w:rFonts w:hint="eastAsia" w:ascii="宋体" w:hAnsi="宋体" w:eastAsia="宋体" w:cs="宋体"/>
          <w:b w:val="0"/>
          <w:i w:val="0"/>
          <w:caps w:val="0"/>
          <w:color w:val="333333"/>
          <w:spacing w:val="0"/>
          <w:sz w:val="30"/>
          <w:szCs w:val="30"/>
          <w:shd w:val="clear" w:fill="FFFFFF"/>
          <w:lang w:val="en-US" w:eastAsia="zh-CN"/>
        </w:rPr>
        <w:t>18</w:t>
      </w:r>
      <w:bookmarkStart w:id="0" w:name="_GoBack"/>
      <w:bookmarkEnd w:id="0"/>
      <w:r>
        <w:rPr>
          <w:rFonts w:hint="eastAsia" w:ascii="宋体" w:hAnsi="宋体" w:eastAsia="宋体" w:cs="宋体"/>
          <w:b w:val="0"/>
          <w:i w:val="0"/>
          <w:caps w:val="0"/>
          <w:color w:val="333333"/>
          <w:spacing w:val="0"/>
          <w:sz w:val="30"/>
          <w:szCs w:val="30"/>
          <w:shd w:val="clear" w:fill="FFFFFF"/>
        </w:rPr>
        <w:t>、“三公”经费：纳入省级财政预算管理的“三公”经费，是指省级部门用财政拨款安排的因公出国（境）费、公务接待费和公务用车购置及运行费。其中，因公出国（境）费反映单位工作人员公务出国（境）的住宿费、旅费、伙食补助费、杂费、培训费等支出；公务接待费反映单位按规定开支的各类公务接待（含外宾接待）支出；公务用车购置及运行费反映单位公务用车购置及租用费、燃料费、维修费、过路过桥费、保险费、安全奖励费用等支出。</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0D05B9"/>
    <w:rsid w:val="691A4F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yl</dc:creator>
  <cp:lastModifiedBy>yl</cp:lastModifiedBy>
  <dcterms:modified xsi:type="dcterms:W3CDTF">2018-02-27T07:59:39Z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