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仿宋" w:hAnsi="仿宋" w:eastAsia="仿宋"/>
          <w:sz w:val="36"/>
          <w:szCs w:val="32"/>
        </w:rPr>
      </w:pPr>
    </w:p>
    <w:p>
      <w:pPr>
        <w:ind w:firstLine="1044" w:firstLineChars="200"/>
        <w:rPr>
          <w:rFonts w:ascii="仿宋_GB2312" w:hAnsi="黑体"/>
          <w:b/>
          <w:sz w:val="52"/>
          <w:szCs w:val="44"/>
        </w:rPr>
      </w:pPr>
    </w:p>
    <w:p>
      <w:pPr>
        <w:ind w:firstLine="1044" w:firstLineChars="200"/>
        <w:rPr>
          <w:rFonts w:ascii="仿宋_GB2312" w:hAnsi="黑体"/>
          <w:b/>
          <w:sz w:val="52"/>
          <w:szCs w:val="44"/>
        </w:rPr>
      </w:pPr>
    </w:p>
    <w:p>
      <w:pPr>
        <w:jc w:val="center"/>
        <w:rPr>
          <w:rFonts w:ascii="仿宋" w:hAnsi="仿宋" w:eastAsia="仿宋"/>
          <w:sz w:val="32"/>
          <w:szCs w:val="32"/>
        </w:rPr>
      </w:pPr>
      <w:r>
        <w:rPr>
          <w:rFonts w:hint="eastAsia" w:ascii="仿宋_GB2312" w:hAnsi="黑体"/>
          <w:b/>
          <w:sz w:val="52"/>
          <w:szCs w:val="44"/>
          <w:lang w:val="en-US" w:eastAsia="zh-CN"/>
        </w:rPr>
        <w:t>2018年度2018年“高等教育综合奖补”专项绩效自评报告</w:t>
      </w:r>
    </w:p>
    <w:p>
      <w:pPr>
        <w:rPr>
          <w:rFonts w:ascii="仿宋" w:hAnsi="仿宋" w:eastAsia="仿宋"/>
          <w:sz w:val="32"/>
          <w:szCs w:val="32"/>
        </w:rPr>
      </w:pPr>
    </w:p>
    <w:p>
      <w:pPr>
        <w:ind w:firstLine="960" w:firstLineChars="300"/>
        <w:rPr>
          <w:rFonts w:ascii="仿宋" w:hAnsi="仿宋" w:eastAsia="仿宋"/>
          <w:sz w:val="32"/>
          <w:szCs w:val="32"/>
        </w:rPr>
      </w:pPr>
    </w:p>
    <w:p>
      <w:pPr>
        <w:ind w:firstLine="1080" w:firstLineChars="300"/>
        <w:rPr>
          <w:rFonts w:ascii="仿宋" w:hAnsi="仿宋" w:eastAsia="仿宋"/>
          <w:sz w:val="36"/>
          <w:szCs w:val="32"/>
        </w:rPr>
      </w:pPr>
    </w:p>
    <w:p>
      <w:pPr>
        <w:ind w:firstLine="1080" w:firstLineChars="300"/>
        <w:rPr>
          <w:rFonts w:ascii="仿宋" w:hAnsi="仿宋" w:eastAsia="仿宋"/>
          <w:sz w:val="36"/>
          <w:szCs w:val="32"/>
        </w:rPr>
      </w:pPr>
    </w:p>
    <w:p>
      <w:pPr>
        <w:rPr>
          <w:rFonts w:ascii="仿宋" w:hAnsi="仿宋" w:eastAsia="仿宋"/>
          <w:sz w:val="36"/>
          <w:szCs w:val="32"/>
        </w:rPr>
      </w:pPr>
      <w:r>
        <w:rPr>
          <w:rFonts w:hint="eastAsia" w:ascii="仿宋" w:hAnsi="仿宋" w:eastAsia="仿宋"/>
          <w:sz w:val="36"/>
          <w:szCs w:val="32"/>
        </w:rPr>
        <w:t>项目单位：三峡大学</w:t>
      </w:r>
    </w:p>
    <w:p>
      <w:pPr>
        <w:rPr>
          <w:rFonts w:ascii="仿宋" w:hAnsi="仿宋" w:eastAsia="仿宋"/>
          <w:sz w:val="36"/>
          <w:szCs w:val="32"/>
        </w:rPr>
      </w:pPr>
    </w:p>
    <w:p>
      <w:pPr>
        <w:rPr>
          <w:rFonts w:ascii="仿宋" w:hAnsi="仿宋" w:eastAsia="仿宋"/>
          <w:sz w:val="36"/>
          <w:szCs w:val="32"/>
        </w:rPr>
      </w:pPr>
      <w:r>
        <w:rPr>
          <w:rFonts w:hint="eastAsia" w:ascii="仿宋" w:hAnsi="仿宋" w:eastAsia="仿宋"/>
          <w:sz w:val="36"/>
          <w:szCs w:val="32"/>
        </w:rPr>
        <w:t>评价机构：湖北众证会计师事务有限责任公司</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6"/>
          <w:szCs w:val="32"/>
        </w:rPr>
      </w:pPr>
    </w:p>
    <w:p>
      <w:pPr>
        <w:spacing w:line="360" w:lineRule="auto"/>
        <w:jc w:val="center"/>
        <w:rPr>
          <w:rFonts w:ascii="黑体" w:hAnsi="黑体" w:eastAsia="黑体"/>
          <w:b/>
          <w:sz w:val="36"/>
          <w:szCs w:val="36"/>
        </w:rPr>
      </w:pPr>
    </w:p>
    <w:p>
      <w:pPr>
        <w:rPr>
          <w:rFonts w:ascii="仿宋_GB2312" w:hAnsi="华文中宋"/>
          <w:bCs/>
          <w:sz w:val="36"/>
          <w:szCs w:val="44"/>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rPr>
          <w:rFonts w:ascii="仿宋_GB2312" w:hAnsi="华文中宋"/>
          <w:bCs/>
          <w:sz w:val="36"/>
          <w:szCs w:val="44"/>
        </w:rPr>
      </w:pPr>
    </w:p>
    <w:p>
      <w:pPr>
        <w:jc w:val="center"/>
        <w:rPr>
          <w:rFonts w:ascii="Arial" w:hAnsi="Arial" w:eastAsia="宋体" w:cs="Arial"/>
          <w:b/>
          <w:sz w:val="36"/>
          <w:szCs w:val="44"/>
        </w:rPr>
      </w:pPr>
      <w:r>
        <w:rPr>
          <w:rFonts w:hint="eastAsia" w:ascii="Arial" w:hAnsi="Arial" w:eastAsia="宋体" w:cs="Arial"/>
          <w:b/>
          <w:sz w:val="36"/>
          <w:szCs w:val="44"/>
        </w:rPr>
        <w:t>三峡大学2018年“高等教育综合奖补”专项</w:t>
      </w:r>
    </w:p>
    <w:p>
      <w:pPr>
        <w:jc w:val="center"/>
        <w:rPr>
          <w:rFonts w:ascii="宋体" w:hAnsi="宋体" w:eastAsia="宋体" w:cs="宋体"/>
          <w:b/>
          <w:sz w:val="36"/>
          <w:szCs w:val="44"/>
        </w:rPr>
      </w:pPr>
      <w:r>
        <w:rPr>
          <w:rFonts w:hint="eastAsia" w:ascii="宋体" w:hAnsi="宋体" w:eastAsia="宋体" w:cs="宋体"/>
          <w:b/>
          <w:sz w:val="36"/>
          <w:szCs w:val="44"/>
        </w:rPr>
        <w:t>绩效评价报告</w:t>
      </w:r>
    </w:p>
    <w:p>
      <w:pPr>
        <w:jc w:val="center"/>
        <w:rPr>
          <w:rFonts w:ascii="楷体_GB2312" w:hAnsi="宋体" w:eastAsia="楷体_GB2312"/>
          <w:color w:val="000000"/>
          <w:sz w:val="24"/>
        </w:rPr>
      </w:pPr>
    </w:p>
    <w:p>
      <w:pPr>
        <w:jc w:val="center"/>
        <w:rPr>
          <w:rFonts w:ascii="楷体_GB2312" w:hAnsi="宋体" w:eastAsia="楷体_GB2312"/>
          <w:sz w:val="24"/>
        </w:rPr>
      </w:pPr>
      <w:r>
        <w:rPr>
          <w:rFonts w:hint="eastAsia" w:ascii="楷体_GB2312" w:hAnsi="宋体" w:eastAsia="楷体_GB2312"/>
          <w:color w:val="000000"/>
          <w:sz w:val="24"/>
        </w:rPr>
        <w:t>鄂众证审专绩字〔2019〕第</w:t>
      </w:r>
      <w:r>
        <w:rPr>
          <w:rFonts w:hint="eastAsia" w:ascii="楷体_GB2312" w:hAnsi="宋体" w:eastAsia="楷体_GB2312"/>
          <w:sz w:val="24"/>
        </w:rPr>
        <w:t>003</w:t>
      </w:r>
      <w:r>
        <w:rPr>
          <w:rFonts w:hint="eastAsia" w:ascii="楷体_GB2312" w:hAnsi="宋体" w:eastAsia="楷体_GB2312"/>
          <w:color w:val="000000"/>
          <w:sz w:val="24"/>
        </w:rPr>
        <w:t>号</w:t>
      </w:r>
    </w:p>
    <w:p>
      <w:pPr>
        <w:widowControl/>
        <w:shd w:val="clear" w:color="auto" w:fill="FFFFFF"/>
        <w:spacing w:line="460" w:lineRule="exact"/>
        <w:ind w:firstLine="480" w:firstLineChars="200"/>
        <w:jc w:val="left"/>
        <w:rPr>
          <w:rFonts w:ascii="宋体" w:hAnsi="宋体"/>
          <w:sz w:val="24"/>
        </w:rPr>
      </w:pP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湖北众证会计师事务有限责任公司接受三峡大学的委托，对三峡大学2018年“高等教育综合奖补”专项进行绩效评价。三峡大学的责任是</w:t>
      </w:r>
      <w:r>
        <w:rPr>
          <w:rFonts w:asciiTheme="minorEastAsia" w:hAnsiTheme="minorEastAsia" w:eastAsiaTheme="minorEastAsia" w:cstheme="minorEastAsia"/>
          <w:bCs/>
          <w:sz w:val="24"/>
        </w:rPr>
        <w:t>提供真实、合法、完整的</w:t>
      </w:r>
      <w:r>
        <w:rPr>
          <w:rFonts w:hint="eastAsia" w:asciiTheme="minorEastAsia" w:hAnsiTheme="minorEastAsia" w:eastAsiaTheme="minorEastAsia" w:cstheme="minorEastAsia"/>
          <w:bCs/>
          <w:sz w:val="24"/>
        </w:rPr>
        <w:t>绩效评价相关</w:t>
      </w:r>
      <w:r>
        <w:rPr>
          <w:rFonts w:asciiTheme="minorEastAsia" w:hAnsiTheme="minorEastAsia" w:eastAsiaTheme="minorEastAsia" w:cstheme="minorEastAsia"/>
          <w:bCs/>
          <w:sz w:val="24"/>
        </w:rPr>
        <w:t>资料</w:t>
      </w:r>
      <w:r>
        <w:rPr>
          <w:rFonts w:hint="eastAsia" w:asciiTheme="minorEastAsia" w:hAnsiTheme="minorEastAsia" w:eastAsiaTheme="minorEastAsia" w:cstheme="minorEastAsia"/>
          <w:bCs/>
          <w:sz w:val="24"/>
        </w:rPr>
        <w:t>。我们的责任是在实施相应审计程序的基础上发表绩效评价的意见。我们的审计是依据《中国注册会计师审计准则》、《中华人民共和国预算法》、《湖北省人民政府关于推进预算绩效管理的意见》（鄂政发〔2013〕9号）、《省财政厅关于开展2018年度省级财政支出绩效评价工作的通知》（鄂财绩发〔2019〕118号）等有关文件规定和要求进行的。在绩效评价过程中，结合三峡大学的实际情况，实施了包括抽查会计记录、调查核实等必要的评价程序，完成了三峡大学2018年“高等教育综合奖补”专项绩效评价工作，并形成了本绩效评价报告。</w:t>
      </w:r>
    </w:p>
    <w:p>
      <w:pPr>
        <w:spacing w:line="480" w:lineRule="exact"/>
        <w:ind w:firstLine="480" w:firstLineChars="200"/>
        <w:rPr>
          <w:rFonts w:asciiTheme="minorEastAsia" w:hAnsiTheme="minorEastAsia" w:eastAsiaTheme="minorEastAsia" w:cstheme="minorEastAsia"/>
          <w:sz w:val="24"/>
        </w:rPr>
      </w:pPr>
    </w:p>
    <w:p>
      <w:pPr>
        <w:numPr>
          <w:ilvl w:val="0"/>
          <w:numId w:val="1"/>
        </w:numPr>
        <w:spacing w:line="480" w:lineRule="exact"/>
        <w:ind w:firstLine="600" w:firstLineChars="200"/>
        <w:rPr>
          <w:rFonts w:ascii="黑体" w:hAnsi="黑体" w:eastAsia="黑体" w:cs="黑体"/>
          <w:bCs/>
          <w:szCs w:val="32"/>
        </w:rPr>
      </w:pPr>
      <w:r>
        <w:rPr>
          <w:rFonts w:hint="eastAsia" w:ascii="黑体" w:hAnsi="黑体" w:eastAsia="黑体" w:cs="黑体"/>
          <w:bCs/>
          <w:szCs w:val="32"/>
        </w:rPr>
        <w:t>基本情况</w:t>
      </w:r>
    </w:p>
    <w:p>
      <w:pPr>
        <w:pStyle w:val="18"/>
        <w:spacing w:line="480" w:lineRule="exact"/>
        <w:ind w:left="420"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（一）项目立项目的和年度绩效目标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1.项目立项目的</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asciiTheme="minorEastAsia" w:hAnsiTheme="minorEastAsia" w:eastAsiaTheme="minorEastAsia" w:cstheme="minorEastAsia"/>
          <w:bCs/>
          <w:sz w:val="24"/>
        </w:rPr>
        <w:t>2018年“高等教育综合奖补”专项旨在</w:t>
      </w:r>
      <w:r>
        <w:rPr>
          <w:rFonts w:hint="eastAsia" w:asciiTheme="minorEastAsia" w:hAnsiTheme="minorEastAsia" w:eastAsiaTheme="minorEastAsia" w:cstheme="minorEastAsia"/>
          <w:bCs/>
          <w:sz w:val="24"/>
        </w:rPr>
        <w:t>加强三峡大学一流学科建设相关的项目、进一步提升学科综合实力和排名，建设一支规模适度、结构优良、素质良好、富有活力的高水平教师队伍，为学校事业发展和办学实力的提高提供坚实的人力资源支撑，促进三峡大学“双一流”建设。项目包含重点学科建设经费、师资队伍建设经费、办学条件建设经费</w:t>
      </w:r>
      <w:r>
        <w:rPr>
          <w:rFonts w:asciiTheme="minorEastAsia" w:hAnsiTheme="minorEastAsia" w:eastAsiaTheme="minorEastAsia" w:cstheme="minorEastAsia"/>
          <w:bCs/>
          <w:sz w:val="24"/>
        </w:rPr>
        <w:t>3</w:t>
      </w:r>
      <w:r>
        <w:rPr>
          <w:rFonts w:hint="eastAsia" w:asciiTheme="minorEastAsia" w:hAnsiTheme="minorEastAsia" w:eastAsiaTheme="minorEastAsia" w:cstheme="minorEastAsia"/>
          <w:bCs/>
          <w:sz w:val="24"/>
        </w:rPr>
        <w:t>个二级项目，</w:t>
      </w:r>
      <w:r>
        <w:rPr>
          <w:rFonts w:asciiTheme="minorEastAsia" w:hAnsiTheme="minorEastAsia" w:eastAsiaTheme="minorEastAsia" w:cstheme="minorEastAsia"/>
          <w:bCs/>
          <w:sz w:val="24"/>
        </w:rPr>
        <w:t>25</w:t>
      </w:r>
      <w:r>
        <w:rPr>
          <w:rFonts w:hint="eastAsia" w:asciiTheme="minorEastAsia" w:hAnsiTheme="minorEastAsia" w:eastAsiaTheme="minorEastAsia" w:cstheme="minorEastAsia"/>
          <w:bCs/>
          <w:sz w:val="24"/>
        </w:rPr>
        <w:t>个绩效指标。</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2.项目年度绩效目标</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根据《三峡大学关于</w:t>
      </w:r>
      <w:bookmarkStart w:id="0" w:name="_Hlk9073856"/>
      <w:r>
        <w:rPr>
          <w:rFonts w:hint="eastAsia" w:asciiTheme="minorEastAsia" w:hAnsiTheme="minorEastAsia" w:eastAsiaTheme="minorEastAsia" w:cstheme="minorEastAsia"/>
          <w:bCs/>
          <w:sz w:val="24"/>
        </w:rPr>
        <w:t>2</w:t>
      </w:r>
      <w:r>
        <w:rPr>
          <w:rFonts w:asciiTheme="minorEastAsia" w:hAnsiTheme="minorEastAsia" w:eastAsiaTheme="minorEastAsia" w:cstheme="minorEastAsia"/>
          <w:bCs/>
          <w:sz w:val="24"/>
        </w:rPr>
        <w:t>018</w:t>
      </w:r>
      <w:r>
        <w:rPr>
          <w:rFonts w:hint="eastAsia" w:asciiTheme="minorEastAsia" w:hAnsiTheme="minorEastAsia" w:eastAsiaTheme="minorEastAsia" w:cstheme="minorEastAsia"/>
          <w:bCs/>
          <w:sz w:val="24"/>
        </w:rPr>
        <w:t>年</w:t>
      </w:r>
      <w:r>
        <w:rPr>
          <w:rFonts w:asciiTheme="minorEastAsia" w:hAnsiTheme="minorEastAsia" w:eastAsiaTheme="minorEastAsia" w:cstheme="minorEastAsia"/>
          <w:bCs/>
          <w:sz w:val="24"/>
        </w:rPr>
        <w:t>“高等教育综合奖补”</w:t>
      </w:r>
      <w:r>
        <w:rPr>
          <w:rFonts w:hint="eastAsia" w:asciiTheme="minorEastAsia" w:hAnsiTheme="minorEastAsia" w:eastAsiaTheme="minorEastAsia" w:cstheme="minorEastAsia"/>
          <w:bCs/>
          <w:sz w:val="24"/>
        </w:rPr>
        <w:t>资金预算</w:t>
      </w:r>
      <w:bookmarkEnd w:id="0"/>
      <w:r>
        <w:rPr>
          <w:rFonts w:hint="eastAsia" w:asciiTheme="minorEastAsia" w:hAnsiTheme="minorEastAsia" w:eastAsiaTheme="minorEastAsia" w:cstheme="minorEastAsia"/>
          <w:bCs/>
          <w:sz w:val="24"/>
        </w:rPr>
        <w:t>安排情况的报告》（三峡大财〔201</w:t>
      </w:r>
      <w:r>
        <w:rPr>
          <w:rFonts w:asciiTheme="minorEastAsia" w:hAnsiTheme="minorEastAsia" w:eastAsiaTheme="minorEastAsia" w:cstheme="minorEastAsia"/>
          <w:bCs/>
          <w:sz w:val="24"/>
        </w:rPr>
        <w:t>8</w:t>
      </w:r>
      <w:r>
        <w:rPr>
          <w:rFonts w:hint="eastAsia" w:asciiTheme="minorEastAsia" w:hAnsiTheme="minorEastAsia" w:eastAsiaTheme="minorEastAsia" w:cstheme="minorEastAsia"/>
          <w:bCs/>
          <w:sz w:val="24"/>
        </w:rPr>
        <w:t>〕14号），2018年“高等教育综合奖补”资金预算为4534万元，主要用于与 “双一流”建设直接相关的三个方面：</w:t>
      </w:r>
      <w:r>
        <w:rPr>
          <w:rFonts w:asciiTheme="minorEastAsia" w:hAnsiTheme="minorEastAsia" w:eastAsiaTheme="minorEastAsia" w:cstheme="minorEastAsia"/>
          <w:bCs/>
          <w:sz w:val="24"/>
        </w:rPr>
        <w:t xml:space="preserve"> </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hint="eastAsia" w:ascii="宋体" w:hAnsi="宋体" w:eastAsia="宋体" w:cs="宋体"/>
          <w:bCs/>
          <w:sz w:val="24"/>
        </w:rPr>
        <w:t>重点学科建设经费2,500.00万元:</w:t>
      </w:r>
    </w:p>
    <w:p>
      <w:pPr>
        <w:numPr>
          <w:ilvl w:val="255"/>
          <w:numId w:val="0"/>
        </w:numPr>
        <w:spacing w:line="480" w:lineRule="exact"/>
        <w:ind w:firstLine="480" w:firstLineChars="200"/>
        <w:rPr>
          <w:rFonts w:ascii="宋体" w:hAnsi="宋体" w:eastAsia="宋体" w:cs="宋体"/>
          <w:bCs/>
          <w:sz w:val="24"/>
        </w:rPr>
      </w:pPr>
      <w:r>
        <w:rPr>
          <w:rFonts w:hint="eastAsia" w:ascii="宋体" w:hAnsi="宋体" w:eastAsia="宋体" w:cs="宋体"/>
          <w:bCs/>
          <w:sz w:val="24"/>
        </w:rPr>
        <w:t>1）加大拔尖人才的培养和引进，加强学术流动岗建设，培育和申报国家级高层次人才工程；举办有影响的学术会议，申报省部级及以上科技奖励。</w:t>
      </w:r>
    </w:p>
    <w:p>
      <w:pPr>
        <w:numPr>
          <w:ilvl w:val="255"/>
          <w:numId w:val="0"/>
        </w:numPr>
        <w:spacing w:line="480" w:lineRule="exact"/>
        <w:ind w:firstLine="480" w:firstLineChars="200"/>
        <w:rPr>
          <w:rFonts w:ascii="宋体" w:hAnsi="宋体" w:eastAsia="宋体" w:cs="宋体"/>
          <w:bCs/>
          <w:sz w:val="24"/>
        </w:rPr>
      </w:pPr>
      <w:r>
        <w:rPr>
          <w:rFonts w:hint="eastAsia" w:ascii="宋体" w:hAnsi="宋体" w:eastAsia="宋体" w:cs="宋体"/>
          <w:bCs/>
          <w:sz w:val="24"/>
        </w:rPr>
        <w:t>2）继续加强现有省部级、校级平台建设、省部级科研平台申报建设准备；新建三峡大学-ETAP电力系统综合仿真平台、电力系统分析及慕课教学研究平台等学科平台；初步完成工程结构动力灾变创新研究平台基础条件建设；初步完成夏热冬冷地区超低能耗绿色建筑技术及应用研究平台基础条件建设；完成天文与空间科学中心平台的条件建设；完成材料分析测试中心立项论证并组建运行管理机构，完成中心建设用房规划论证及相应改造和装修工作，集中已有大型材料分析测试设备。</w:t>
      </w:r>
    </w:p>
    <w:p>
      <w:pPr>
        <w:numPr>
          <w:ilvl w:val="255"/>
          <w:numId w:val="0"/>
        </w:numPr>
        <w:spacing w:line="480" w:lineRule="exact"/>
        <w:ind w:firstLine="480" w:firstLineChars="200"/>
        <w:rPr>
          <w:rFonts w:ascii="宋体" w:hAnsi="宋体" w:eastAsia="宋体" w:cs="宋体"/>
          <w:bCs/>
          <w:sz w:val="24"/>
        </w:rPr>
      </w:pPr>
      <w:r>
        <w:rPr>
          <w:rFonts w:hint="eastAsia" w:ascii="宋体" w:hAnsi="宋体" w:eastAsia="宋体" w:cs="宋体"/>
          <w:bCs/>
          <w:sz w:val="24"/>
        </w:rPr>
        <w:t>3）改革人才培养模式，加强教育教学改革，推进精品课程、精品视频公开课、慕课等建设，提高人才培养质量。</w:t>
      </w:r>
    </w:p>
    <w:p>
      <w:pPr>
        <w:numPr>
          <w:ilvl w:val="255"/>
          <w:numId w:val="0"/>
        </w:numPr>
        <w:spacing w:line="480" w:lineRule="exact"/>
        <w:ind w:firstLine="480" w:firstLineChars="200"/>
        <w:rPr>
          <w:rFonts w:ascii="宋体" w:hAnsi="宋体" w:eastAsia="宋体" w:cs="宋体"/>
          <w:bCs/>
          <w:sz w:val="24"/>
        </w:rPr>
      </w:pPr>
      <w:r>
        <w:rPr>
          <w:rFonts w:hint="eastAsia" w:ascii="宋体" w:hAnsi="宋体" w:eastAsia="宋体" w:cs="宋体"/>
          <w:bCs/>
          <w:sz w:val="24"/>
        </w:rPr>
        <w:t>4）加大重大项目的策划及预研究，产出一批高水平论文、专著、专利及科技奖励。</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宋体" w:hAnsi="宋体" w:eastAsia="宋体" w:cs="宋体"/>
          <w:bCs/>
          <w:sz w:val="24"/>
        </w:rPr>
        <w:t>5）加强国际合作与交流，支持青年教师、学生出国研学与合作研究，提高留学生人才培养质量。。</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w:t>
      </w:r>
      <w:r>
        <w:rPr>
          <w:rFonts w:hint="eastAsia" w:ascii="宋体" w:hAnsi="宋体" w:eastAsia="宋体" w:cs="宋体"/>
          <w:bCs/>
          <w:sz w:val="24"/>
        </w:rPr>
        <w:t>师资队伍建设经费1,824.00万元:</w:t>
      </w:r>
      <w:r>
        <w:rPr>
          <w:rFonts w:hint="eastAsia"/>
        </w:rPr>
        <w:t xml:space="preserve"> </w:t>
      </w:r>
      <w:r>
        <w:rPr>
          <w:rFonts w:hint="eastAsia" w:ascii="宋体" w:hAnsi="宋体" w:eastAsia="宋体" w:cs="宋体"/>
          <w:bCs/>
          <w:sz w:val="24"/>
        </w:rPr>
        <w:t>引进、培养回校博士、教授65人左右；外聘各类专家70余人，当年新增3-5人。选派骨干教师出国研修28-30人，国内访学10人，实践能力培养20人，各类专题培训60人。。</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宋体" w:hAnsi="宋体" w:eastAsia="宋体" w:cs="宋体"/>
          <w:bCs/>
          <w:sz w:val="24"/>
        </w:rPr>
        <w:t>办学条件建设经费210.00万元:</w:t>
      </w:r>
      <w:r>
        <w:rPr>
          <w:rFonts w:hint="eastAsia"/>
        </w:rPr>
        <w:t xml:space="preserve"> </w:t>
      </w:r>
      <w:r>
        <w:rPr>
          <w:rFonts w:hint="eastAsia" w:ascii="宋体" w:hAnsi="宋体" w:eastAsia="宋体" w:cs="宋体"/>
          <w:bCs/>
          <w:sz w:val="24"/>
        </w:rPr>
        <w:t>按时完成水电楼两部电梯更新工作。按时完成学校地下排水管网排查，提出分析报告，并绘制出学校地下排水管网路径图及分布图。</w:t>
      </w:r>
    </w:p>
    <w:p>
      <w:pPr>
        <w:pStyle w:val="18"/>
        <w:spacing w:line="480" w:lineRule="exact"/>
        <w:ind w:left="420"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（二）项目资金情况</w:t>
      </w:r>
    </w:p>
    <w:p>
      <w:pPr>
        <w:pStyle w:val="24"/>
        <w:jc w:val="center"/>
        <w:rPr>
          <w:rFonts w:eastAsiaTheme="minorEastAsia"/>
          <w:b/>
          <w:bCs/>
          <w:sz w:val="21"/>
          <w:szCs w:val="21"/>
        </w:rPr>
      </w:pPr>
      <w:r>
        <w:rPr>
          <w:rFonts w:hint="eastAsia" w:asciiTheme="minorEastAsia" w:hAnsiTheme="minorEastAsia" w:eastAsiaTheme="minorEastAsia" w:cstheme="minorEastAsia"/>
          <w:bCs/>
        </w:rPr>
        <w:t>该项目预算资金</w:t>
      </w:r>
      <w:r>
        <w:rPr>
          <w:rFonts w:asciiTheme="minorEastAsia" w:hAnsiTheme="minorEastAsia" w:eastAsiaTheme="minorEastAsia" w:cstheme="minorEastAsia"/>
          <w:bCs/>
        </w:rPr>
        <w:t>4</w:t>
      </w:r>
      <w:r>
        <w:rPr>
          <w:rFonts w:hint="eastAsia" w:asciiTheme="minorEastAsia" w:hAnsiTheme="minorEastAsia" w:eastAsiaTheme="minorEastAsia" w:cstheme="minorEastAsia"/>
          <w:bCs/>
        </w:rPr>
        <w:t>,</w:t>
      </w:r>
      <w:r>
        <w:rPr>
          <w:rFonts w:asciiTheme="minorEastAsia" w:hAnsiTheme="minorEastAsia" w:eastAsiaTheme="minorEastAsia" w:cstheme="minorEastAsia"/>
          <w:bCs/>
        </w:rPr>
        <w:t>534</w:t>
      </w:r>
      <w:r>
        <w:rPr>
          <w:rFonts w:hint="eastAsia" w:asciiTheme="minorEastAsia" w:hAnsiTheme="minorEastAsia" w:eastAsiaTheme="minorEastAsia" w:cstheme="minorEastAsia"/>
          <w:bCs/>
        </w:rPr>
        <w:t>.00万元，</w:t>
      </w:r>
      <w:bookmarkStart w:id="1" w:name="_Hlk9074452"/>
      <w:r>
        <w:rPr>
          <w:rFonts w:hint="eastAsia" w:asciiTheme="minorEastAsia" w:hAnsiTheme="minorEastAsia" w:eastAsiaTheme="minorEastAsia" w:cstheme="minorEastAsia"/>
          <w:bCs/>
        </w:rPr>
        <w:t>全部通过国库指标形式下达，政府支出管理结构为一次性项目，</w:t>
      </w:r>
      <w:bookmarkEnd w:id="1"/>
      <w:r>
        <w:rPr>
          <w:rFonts w:hint="eastAsia" w:asciiTheme="minorEastAsia" w:hAnsiTheme="minorEastAsia" w:eastAsiaTheme="minorEastAsia" w:cstheme="minorEastAsia"/>
          <w:bCs/>
        </w:rPr>
        <w:t>全部用于支付2018年“高等教育综合奖补”专项的商品和服务支出、对个人和家庭的补助、其他资本性支出三大支出项，1</w:t>
      </w:r>
      <w:r>
        <w:rPr>
          <w:rFonts w:asciiTheme="minorEastAsia" w:hAnsiTheme="minorEastAsia" w:eastAsiaTheme="minorEastAsia" w:cstheme="minorEastAsia"/>
          <w:bCs/>
        </w:rPr>
        <w:t>6</w:t>
      </w:r>
      <w:r>
        <w:rPr>
          <w:rFonts w:hint="eastAsia" w:asciiTheme="minorEastAsia" w:hAnsiTheme="minorEastAsia" w:eastAsiaTheme="minorEastAsia" w:cstheme="minorEastAsia"/>
          <w:bCs/>
        </w:rPr>
        <w:t>项支出明细。</w:t>
      </w:r>
      <w:r>
        <w:rPr>
          <w:rFonts w:ascii="Times New Roman" w:hAnsi="Times New Roman" w:eastAsiaTheme="minorEastAsia"/>
        </w:rPr>
        <w:t>项目经费统一由学校财务处统一管理，负责经费的核算、监督和管理，实行专款专用，经费由</w:t>
      </w:r>
      <w:r>
        <w:rPr>
          <w:rFonts w:hint="eastAsia" w:ascii="Times New Roman" w:hAnsi="Times New Roman" w:eastAsiaTheme="minorEastAsia"/>
        </w:rPr>
        <w:t>各</w:t>
      </w:r>
      <w:r>
        <w:rPr>
          <w:rFonts w:ascii="Times New Roman" w:hAnsi="Times New Roman" w:eastAsiaTheme="minorEastAsia"/>
        </w:rPr>
        <w:t>项目归口管理部门处集中审批，实行项目化管理。经费的使用严格按项目任务书的经费预算及有关财务管理制度执行</w:t>
      </w:r>
      <w:r>
        <w:rPr>
          <w:rFonts w:hint="eastAsia" w:ascii="Times New Roman" w:hAnsi="Times New Roman" w:eastAsiaTheme="minorEastAsia"/>
        </w:rPr>
        <w:t>。</w:t>
      </w:r>
      <w:r>
        <w:rPr>
          <w:rFonts w:hint="eastAsia" w:asciiTheme="minorEastAsia" w:hAnsiTheme="minorEastAsia" w:eastAsiaTheme="minorEastAsia" w:cstheme="minorEastAsia"/>
          <w:bCs/>
        </w:rPr>
        <w:t>具体支出预算情况见表1。</w:t>
      </w:r>
      <w:r>
        <w:rPr>
          <w:rFonts w:hAnsiTheme="minorEastAsia" w:eastAsiaTheme="minorEastAsia"/>
          <w:b/>
          <w:bCs/>
          <w:sz w:val="21"/>
          <w:szCs w:val="21"/>
        </w:rPr>
        <w:t>表</w:t>
      </w:r>
      <w:r>
        <w:rPr>
          <w:rFonts w:hint="eastAsia" w:eastAsiaTheme="minorEastAsia"/>
          <w:b/>
          <w:bCs/>
          <w:sz w:val="21"/>
          <w:szCs w:val="21"/>
        </w:rPr>
        <w:t>1</w:t>
      </w:r>
      <w:r>
        <w:rPr>
          <w:rFonts w:eastAsiaTheme="minorEastAsia"/>
          <w:b/>
          <w:bCs/>
          <w:sz w:val="21"/>
          <w:szCs w:val="21"/>
        </w:rPr>
        <w:t xml:space="preserve"> </w:t>
      </w:r>
      <w:r>
        <w:rPr>
          <w:rFonts w:hAnsiTheme="minorEastAsia" w:eastAsiaTheme="minorEastAsia"/>
          <w:b/>
          <w:bCs/>
          <w:sz w:val="21"/>
          <w:szCs w:val="21"/>
        </w:rPr>
        <w:t>项目支出预算明细表</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4097"/>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widowControl/>
              <w:adjustRightInd w:val="0"/>
              <w:snapToGrid w:val="0"/>
              <w:jc w:val="center"/>
              <w:rPr>
                <w:rFonts w:asciiTheme="minorEastAsia" w:hAnsiTheme="minorEastAsia" w:eastAsiaTheme="minorEastAsia" w:cstheme="minorEastAsia"/>
                <w:b/>
                <w:bCs/>
                <w:sz w:val="21"/>
                <w:szCs w:val="21"/>
              </w:rPr>
            </w:pPr>
            <w:r>
              <w:rPr>
                <w:rFonts w:hint="eastAsia" w:ascii="宋体" w:hAnsi="宋体" w:eastAsia="宋体" w:cs="宋体"/>
                <w:b/>
                <w:bCs/>
                <w:kern w:val="0"/>
                <w:sz w:val="20"/>
                <w:szCs w:val="20"/>
              </w:rPr>
              <w:t>序号</w:t>
            </w:r>
          </w:p>
        </w:tc>
        <w:tc>
          <w:tcPr>
            <w:tcW w:w="4097" w:type="dxa"/>
            <w:vAlign w:val="center"/>
          </w:tcPr>
          <w:p>
            <w:pPr>
              <w:widowControl/>
              <w:adjustRightInd w:val="0"/>
              <w:snapToGrid w:val="0"/>
              <w:jc w:val="center"/>
              <w:rPr>
                <w:rFonts w:asciiTheme="minorEastAsia" w:hAnsiTheme="minorEastAsia" w:eastAsiaTheme="minorEastAsia" w:cstheme="minorEastAsia"/>
                <w:b/>
                <w:bCs/>
                <w:sz w:val="21"/>
                <w:szCs w:val="21"/>
              </w:rPr>
            </w:pPr>
            <w:r>
              <w:rPr>
                <w:rFonts w:hint="eastAsia" w:ascii="宋体" w:hAnsi="宋体" w:eastAsia="宋体" w:cs="宋体"/>
                <w:b/>
                <w:bCs/>
                <w:kern w:val="0"/>
                <w:sz w:val="20"/>
                <w:szCs w:val="20"/>
              </w:rPr>
              <w:t>项目支出明细</w:t>
            </w:r>
          </w:p>
        </w:tc>
        <w:tc>
          <w:tcPr>
            <w:tcW w:w="2801" w:type="dxa"/>
            <w:vAlign w:val="center"/>
          </w:tcPr>
          <w:p>
            <w:pPr>
              <w:widowControl/>
              <w:adjustRightInd w:val="0"/>
              <w:snapToGrid w:val="0"/>
              <w:jc w:val="center"/>
              <w:rPr>
                <w:rFonts w:asciiTheme="minorEastAsia" w:hAnsiTheme="minorEastAsia" w:eastAsiaTheme="minorEastAsia" w:cstheme="minorEastAsia"/>
                <w:b/>
                <w:bCs/>
                <w:sz w:val="21"/>
                <w:szCs w:val="21"/>
              </w:rPr>
            </w:pPr>
            <w:r>
              <w:rPr>
                <w:rFonts w:hint="eastAsia" w:ascii="宋体" w:hAnsi="宋体" w:eastAsia="宋体" w:cs="宋体"/>
                <w:b/>
                <w:bCs/>
                <w:kern w:val="0"/>
                <w:sz w:val="20"/>
                <w:szCs w:val="20"/>
              </w:rPr>
              <w:t>预算</w:t>
            </w:r>
            <w:r>
              <w:rPr>
                <w:rFonts w:hint="eastAsia" w:asciiTheme="minorEastAsia" w:hAnsiTheme="minorEastAsia" w:eastAsiaTheme="minorEastAsia" w:cstheme="minorEastAsia"/>
                <w:b/>
                <w:bCs/>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商品和服务支出-办公费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商品和服务支出-差旅费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217.68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商品和服务支出-会议费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商品和服务支出-劳务费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27.00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商品和服务支出-培训费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商品和服务支出-其他交通费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商品和服务支出-其他商品和服务支出</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2</w:t>
            </w:r>
            <w:r>
              <w:rPr>
                <w:rFonts w:hint="eastAsia" w:asciiTheme="minorEastAsia" w:hAnsiTheme="minorEastAsia" w:eastAsiaTheme="minorEastAsia" w:cstheme="minorEastAsia"/>
                <w:bCs/>
                <w:sz w:val="21"/>
                <w:szCs w:val="21"/>
              </w:rPr>
              <w:t>,</w:t>
            </w:r>
            <w:r>
              <w:rPr>
                <w:rFonts w:asciiTheme="minorEastAsia" w:hAnsiTheme="minorEastAsia" w:eastAsiaTheme="minorEastAsia" w:cstheme="minorEastAsia"/>
                <w:bCs/>
                <w:sz w:val="21"/>
                <w:szCs w:val="21"/>
              </w:rPr>
              <w:t xml:space="preserve">125.54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8</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商品和服务支出-维修费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136.00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9</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商品和服务支出-委托业务费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商品和服务支出-印刷费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47.00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商品和服务支出-邮电费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12</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商品和服务支出-专用材料费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13.50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13</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商品和服务支出-咨询费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14</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商品和服务支出-租赁费</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262.00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对个人和家庭的补助-助学金</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 xml:space="preserve">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8"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16</w:t>
            </w:r>
          </w:p>
        </w:tc>
        <w:tc>
          <w:tcPr>
            <w:tcW w:w="409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其他资本性支出-其他资本性支出</w:t>
            </w:r>
          </w:p>
        </w:tc>
        <w:tc>
          <w:tcPr>
            <w:tcW w:w="2801"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rPr>
              <w:t>,</w:t>
            </w:r>
            <w:r>
              <w:rPr>
                <w:rFonts w:asciiTheme="minorEastAsia" w:hAnsiTheme="minorEastAsia" w:eastAsiaTheme="minorEastAsia" w:cstheme="minorEastAsia"/>
                <w:bCs/>
                <w:sz w:val="21"/>
                <w:szCs w:val="21"/>
              </w:rPr>
              <w:t xml:space="preserve">312.28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495" w:type="dxa"/>
            <w:gridSpan w:val="2"/>
            <w:vAlign w:val="center"/>
          </w:tcPr>
          <w:p>
            <w:pPr>
              <w:numPr>
                <w:ilvl w:val="255"/>
                <w:numId w:val="0"/>
              </w:numPr>
              <w:adjustRightInd w:val="0"/>
              <w:snapToGrid w:val="0"/>
              <w:jc w:val="center"/>
              <w:rPr>
                <w:rFonts w:cs="仿宋_GB2312" w:asciiTheme="minorEastAsia" w:hAnsiTheme="minorEastAsia" w:eastAsiaTheme="minorEastAsia"/>
                <w:bCs/>
                <w:kern w:val="0"/>
                <w:sz w:val="21"/>
                <w:szCs w:val="21"/>
              </w:rPr>
            </w:pPr>
            <w:r>
              <w:rPr>
                <w:rFonts w:hint="eastAsia" w:cs="仿宋_GB2312" w:asciiTheme="minorEastAsia" w:hAnsiTheme="minorEastAsia" w:eastAsiaTheme="minorEastAsia"/>
                <w:bCs/>
                <w:kern w:val="0"/>
                <w:sz w:val="21"/>
                <w:szCs w:val="21"/>
              </w:rPr>
              <w:t>合计</w:t>
            </w:r>
          </w:p>
        </w:tc>
        <w:tc>
          <w:tcPr>
            <w:tcW w:w="2801" w:type="dxa"/>
            <w:vAlign w:val="center"/>
          </w:tcPr>
          <w:p>
            <w:pPr>
              <w:widowControl/>
              <w:adjustRightInd w:val="0"/>
              <w:snapToGrid w:val="0"/>
              <w:jc w:val="center"/>
              <w:textAlignment w:val="center"/>
              <w:rPr>
                <w:rFonts w:cs="仿宋_GB2312" w:asciiTheme="minorEastAsia" w:hAnsiTheme="minorEastAsia" w:eastAsiaTheme="minorEastAsia"/>
                <w:kern w:val="0"/>
                <w:sz w:val="21"/>
                <w:szCs w:val="21"/>
              </w:rPr>
            </w:pPr>
            <w:r>
              <w:rPr>
                <w:rFonts w:cs="仿宋_GB2312" w:asciiTheme="minorEastAsia" w:hAnsiTheme="minorEastAsia" w:eastAsiaTheme="minorEastAsia"/>
                <w:kern w:val="0"/>
                <w:sz w:val="21"/>
                <w:szCs w:val="21"/>
              </w:rPr>
              <w:t>4</w:t>
            </w:r>
            <w:r>
              <w:rPr>
                <w:rFonts w:hint="eastAsia" w:cs="仿宋_GB2312" w:asciiTheme="minorEastAsia" w:hAnsiTheme="minorEastAsia" w:eastAsiaTheme="minorEastAsia"/>
                <w:kern w:val="0"/>
                <w:sz w:val="21"/>
                <w:szCs w:val="21"/>
              </w:rPr>
              <w:t>,</w:t>
            </w:r>
            <w:r>
              <w:rPr>
                <w:rFonts w:cs="仿宋_GB2312" w:asciiTheme="minorEastAsia" w:hAnsiTheme="minorEastAsia" w:eastAsiaTheme="minorEastAsia"/>
                <w:kern w:val="0"/>
                <w:sz w:val="21"/>
                <w:szCs w:val="21"/>
              </w:rPr>
              <w:t>534.00</w:t>
            </w:r>
          </w:p>
        </w:tc>
      </w:tr>
    </w:tbl>
    <w:p>
      <w:pPr>
        <w:spacing w:line="480" w:lineRule="exact"/>
        <w:rPr>
          <w:rFonts w:ascii="黑体" w:hAnsi="黑体" w:eastAsia="黑体" w:cs="黑体"/>
          <w:bCs/>
          <w:szCs w:val="32"/>
        </w:rPr>
      </w:pPr>
    </w:p>
    <w:p>
      <w:pPr>
        <w:spacing w:line="480" w:lineRule="exact"/>
        <w:ind w:firstLine="600" w:firstLineChars="200"/>
        <w:rPr>
          <w:rFonts w:ascii="黑体" w:hAnsi="黑体" w:eastAsia="黑体" w:cs="黑体"/>
          <w:bCs/>
          <w:szCs w:val="32"/>
        </w:rPr>
      </w:pPr>
      <w:r>
        <w:rPr>
          <w:rFonts w:hint="eastAsia" w:ascii="黑体" w:hAnsi="黑体" w:eastAsia="黑体" w:cs="黑体"/>
          <w:bCs/>
          <w:szCs w:val="32"/>
        </w:rPr>
        <w:t>二、绩效评价工作开展情况</w:t>
      </w:r>
    </w:p>
    <w:p>
      <w:pPr>
        <w:spacing w:line="480" w:lineRule="exact"/>
        <w:ind w:firstLine="482" w:firstLineChars="200"/>
        <w:rPr>
          <w:rFonts w:ascii="Calibri" w:hAnsi="Calibri" w:cs="Calibri" w:eastAsiaTheme="minorEastAsia"/>
          <w:b/>
          <w:sz w:val="24"/>
        </w:rPr>
      </w:pPr>
      <w:r>
        <w:rPr>
          <w:rFonts w:hint="eastAsia" w:ascii="Calibri" w:hAnsi="Calibri" w:cs="Calibri" w:eastAsiaTheme="minorEastAsia"/>
          <w:b/>
          <w:sz w:val="24"/>
        </w:rPr>
        <w:t>（一）前期准备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1.成立绩效评价工作组。依据项目绩效目标及</w:t>
      </w:r>
      <w:r>
        <w:rPr>
          <w:rFonts w:hint="eastAsia" w:asciiTheme="minorEastAsia" w:hAnsiTheme="minorEastAsia" w:eastAsiaTheme="minorEastAsia" w:cstheme="minorEastAsia"/>
          <w:sz w:val="24"/>
        </w:rPr>
        <w:t>《省财政厅关于开展2018年度省级财政支出绩效评价自评工作的通知》（鄂财函〔2019〕118号</w:t>
      </w:r>
      <w:r>
        <w:rPr>
          <w:rFonts w:hint="eastAsia" w:asciiTheme="minorEastAsia" w:hAnsiTheme="minorEastAsia" w:eastAsiaTheme="minorEastAsia" w:cstheme="minorEastAsia"/>
          <w:bCs/>
          <w:sz w:val="24"/>
        </w:rPr>
        <w:t>）文件要求，成立由湖北众证会计师事务有限责任公司及三峡大学财务处、人事处、科技处、学生处、教务处、体育学院、社科处等职能部门组成的绩效评价工作组，负责组织开展绩效评价各环节的工作。</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2.制定绩效评价工作方案。根据绩效评价范围，综合考虑评价内容、评价重点及评价范畴等情况，制定了本次绩效评价工作方案。</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制定绩效评价实施方案和相关制度。根据绩效评价工作方案、评价对象及预算管理要求，绩效评价工作组制定绩效评价工作实施方案，明确绩效评价工作目标、任务、时间安排和工作要求等具体事项。建立与绩效评价工作相关的制度、规定和办法。</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4.部署绩效评价工作。绩效评价工作组统一下发绩效评价通知，并召开绩效评价工作部署会。</w:t>
      </w:r>
    </w:p>
    <w:p>
      <w:pPr>
        <w:spacing w:line="480" w:lineRule="exact"/>
        <w:ind w:firstLine="482" w:firstLineChars="200"/>
        <w:rPr>
          <w:rFonts w:ascii="Calibri" w:hAnsi="Calibri" w:cs="Calibri" w:eastAsiaTheme="minorEastAsia"/>
          <w:bCs/>
          <w:sz w:val="24"/>
        </w:rPr>
      </w:pPr>
      <w:r>
        <w:rPr>
          <w:rFonts w:hint="eastAsia" w:ascii="Calibri" w:hAnsi="Calibri" w:cs="Calibri" w:eastAsiaTheme="minorEastAsia"/>
          <w:b/>
          <w:sz w:val="24"/>
        </w:rPr>
        <w:t>（二）组织实施</w:t>
      </w:r>
    </w:p>
    <w:p>
      <w:pPr>
        <w:spacing w:line="480" w:lineRule="exact"/>
        <w:ind w:firstLine="480" w:firstLineChars="200"/>
        <w:rPr>
          <w:rFonts w:ascii="Arial Narrow" w:hAnsi="Arial Narrow"/>
          <w:sz w:val="24"/>
        </w:rPr>
      </w:pPr>
      <w:r>
        <w:rPr>
          <w:rFonts w:hint="eastAsia" w:asciiTheme="minorEastAsia" w:hAnsiTheme="minorEastAsia" w:eastAsiaTheme="minorEastAsia" w:cstheme="minorEastAsia"/>
          <w:bCs/>
          <w:sz w:val="24"/>
        </w:rPr>
        <w:t>1.建立绩效指标体系。结合项目的实际情况，在查阅项目相关文件、现场察看、调查了解、初步分析的基础上，拟定了项目绩效评价指标体系评分表和得分对应等级表，经工作小组共同商讨、修订后，形成该项目的绩效评价指标体系。</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收集并审核资料。评价工作组根据资料清单，结合评价对象的实际情况收集资料，并对部分资料进行抽样调查，对其真实性和可靠性分析。特别重要的以及存在疑问的基础数据资料，各项目归口部门进行核实确认。</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3.现场调研和走访。按照评价工作程序和工作指南，评价工作组到项目现场进行实地调研和走访，并形成文字记录。</w:t>
      </w:r>
    </w:p>
    <w:p>
      <w:pPr>
        <w:spacing w:line="480" w:lineRule="exact"/>
        <w:ind w:firstLine="477" w:firstLineChars="19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4.末级指标权重的确定。末级指标的权重量化参考《湖北省财政项目支出绩效评价指标体系框架》，同时采用了逐项对比法和层次分析法，对每个层次的指标根据重要性依次进行比较并确定权重值。</w:t>
      </w:r>
    </w:p>
    <w:p>
      <w:pPr>
        <w:spacing w:line="480" w:lineRule="exact"/>
        <w:ind w:firstLine="477" w:firstLineChars="19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5.完成绩效指标评分。根据收集的资料和现场调研走访的情况，评价小组主要采取比较法、直接获取、现场查看、访谈、统计分析等评价方法进行指标评分。</w:t>
      </w:r>
    </w:p>
    <w:p>
      <w:pPr>
        <w:spacing w:line="480" w:lineRule="exact"/>
        <w:ind w:firstLine="600" w:firstLineChars="200"/>
        <w:rPr>
          <w:rFonts w:ascii="黑体" w:hAnsi="黑体" w:eastAsia="黑体" w:cs="黑体"/>
          <w:bCs/>
          <w:szCs w:val="32"/>
        </w:rPr>
      </w:pPr>
    </w:p>
    <w:p>
      <w:pPr>
        <w:spacing w:line="480" w:lineRule="exact"/>
        <w:ind w:firstLine="602" w:firstLineChars="200"/>
        <w:rPr>
          <w:rFonts w:asciiTheme="minorEastAsia" w:hAnsiTheme="minorEastAsia" w:eastAsiaTheme="minorEastAsia" w:cstheme="minorEastAsia"/>
          <w:b/>
          <w:szCs w:val="32"/>
        </w:rPr>
      </w:pPr>
      <w:r>
        <w:rPr>
          <w:rFonts w:hint="eastAsia" w:asciiTheme="minorEastAsia" w:hAnsiTheme="minorEastAsia" w:eastAsiaTheme="minorEastAsia" w:cstheme="minorEastAsia"/>
          <w:b/>
          <w:szCs w:val="32"/>
        </w:rPr>
        <w:t>三、绩效目标完成情况分析</w:t>
      </w:r>
    </w:p>
    <w:p>
      <w:pPr>
        <w:spacing w:line="48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（一）项目资金情况分析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1.项目资金到位情况分析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项目预算资金</w:t>
      </w:r>
      <w:r>
        <w:rPr>
          <w:rFonts w:asciiTheme="minorEastAsia" w:hAnsiTheme="minorEastAsia" w:eastAsiaTheme="minorEastAsia" w:cstheme="minorEastAsia"/>
          <w:bCs/>
          <w:sz w:val="24"/>
        </w:rPr>
        <w:t>4</w:t>
      </w:r>
      <w:r>
        <w:rPr>
          <w:rFonts w:hint="eastAsia" w:asciiTheme="minorEastAsia" w:hAnsiTheme="minorEastAsia" w:eastAsiaTheme="minorEastAsia" w:cstheme="minorEastAsia"/>
          <w:bCs/>
          <w:sz w:val="24"/>
        </w:rPr>
        <w:t>,</w:t>
      </w:r>
      <w:r>
        <w:rPr>
          <w:rFonts w:asciiTheme="minorEastAsia" w:hAnsiTheme="minorEastAsia" w:eastAsiaTheme="minorEastAsia" w:cstheme="minorEastAsia"/>
          <w:bCs/>
          <w:sz w:val="24"/>
        </w:rPr>
        <w:t>534</w:t>
      </w:r>
      <w:r>
        <w:rPr>
          <w:rFonts w:hint="eastAsia" w:asciiTheme="minorEastAsia" w:hAnsiTheme="minorEastAsia" w:eastAsiaTheme="minorEastAsia" w:cstheme="minorEastAsia"/>
          <w:bCs/>
          <w:sz w:val="24"/>
        </w:rPr>
        <w:t>.00万元，于2018年</w:t>
      </w:r>
      <w:r>
        <w:rPr>
          <w:rFonts w:asciiTheme="minorEastAsia" w:hAnsiTheme="minorEastAsia" w:eastAsiaTheme="minorEastAsia" w:cstheme="minorEastAsia"/>
          <w:bCs/>
          <w:sz w:val="24"/>
        </w:rPr>
        <w:t>7</w:t>
      </w:r>
      <w:r>
        <w:rPr>
          <w:rFonts w:hint="eastAsia" w:asciiTheme="minorEastAsia" w:hAnsiTheme="minorEastAsia" w:eastAsiaTheme="minorEastAsia" w:cstheme="minorEastAsia"/>
          <w:bCs/>
          <w:sz w:val="24"/>
        </w:rPr>
        <w:t>月拨付到位。主要</w:t>
      </w:r>
      <w:r>
        <w:rPr>
          <w:rFonts w:asciiTheme="minorEastAsia" w:hAnsiTheme="minorEastAsia" w:eastAsiaTheme="minorEastAsia" w:cstheme="minorEastAsia"/>
          <w:bCs/>
          <w:sz w:val="24"/>
        </w:rPr>
        <w:t>5</w:t>
      </w:r>
      <w:r>
        <w:rPr>
          <w:rFonts w:hint="eastAsia" w:asciiTheme="minorEastAsia" w:hAnsiTheme="minorEastAsia" w:eastAsiaTheme="minorEastAsia" w:cstheme="minorEastAsia"/>
          <w:bCs/>
          <w:sz w:val="24"/>
        </w:rPr>
        <w:t>个拨付类目：助学金</w:t>
      </w:r>
      <w:r>
        <w:rPr>
          <w:rFonts w:asciiTheme="minorEastAsia" w:hAnsiTheme="minorEastAsia" w:eastAsiaTheme="minorEastAsia" w:cstheme="minorEastAsia"/>
          <w:bCs/>
          <w:sz w:val="24"/>
        </w:rPr>
        <w:t>200</w:t>
      </w:r>
      <w:r>
        <w:rPr>
          <w:rFonts w:hint="eastAsia" w:asciiTheme="minorEastAsia" w:hAnsiTheme="minorEastAsia" w:eastAsiaTheme="minorEastAsia" w:cstheme="minorEastAsia"/>
          <w:bCs/>
          <w:sz w:val="24"/>
        </w:rPr>
        <w:t>.00万元、商品和服务支出-政采非新</w:t>
      </w:r>
      <w:r>
        <w:rPr>
          <w:rFonts w:asciiTheme="minorEastAsia" w:hAnsiTheme="minorEastAsia" w:eastAsiaTheme="minorEastAsia" w:cstheme="minorEastAsia"/>
          <w:bCs/>
          <w:sz w:val="24"/>
        </w:rPr>
        <w:t>282</w:t>
      </w:r>
      <w:r>
        <w:rPr>
          <w:rFonts w:hint="eastAsia" w:asciiTheme="minorEastAsia" w:hAnsiTheme="minorEastAsia" w:eastAsiaTheme="minorEastAsia" w:cstheme="minorEastAsia"/>
          <w:bCs/>
          <w:sz w:val="24"/>
        </w:rPr>
        <w:t>.00万元、其他资本性支出-非政采新4</w:t>
      </w:r>
      <w:r>
        <w:rPr>
          <w:rFonts w:asciiTheme="minorEastAsia" w:hAnsiTheme="minorEastAsia" w:eastAsiaTheme="minorEastAsia" w:cstheme="minorEastAsia"/>
          <w:bCs/>
          <w:sz w:val="24"/>
        </w:rPr>
        <w:t>51.5</w:t>
      </w:r>
      <w:r>
        <w:rPr>
          <w:rFonts w:hint="eastAsia" w:asciiTheme="minorEastAsia" w:hAnsiTheme="minorEastAsia" w:eastAsiaTheme="minorEastAsia" w:cstheme="minorEastAsia"/>
          <w:bCs/>
          <w:sz w:val="24"/>
        </w:rPr>
        <w:t>万元、其他资本性支出-政采新增</w:t>
      </w:r>
      <w:r>
        <w:rPr>
          <w:rFonts w:asciiTheme="minorEastAsia" w:hAnsiTheme="minorEastAsia" w:eastAsiaTheme="minorEastAsia" w:cstheme="minorEastAsia"/>
          <w:bCs/>
          <w:sz w:val="24"/>
        </w:rPr>
        <w:t>860.78</w:t>
      </w:r>
      <w:r>
        <w:rPr>
          <w:rFonts w:hint="eastAsia" w:asciiTheme="minorEastAsia" w:hAnsiTheme="minorEastAsia" w:eastAsiaTheme="minorEastAsia" w:cstheme="minorEastAsia"/>
          <w:bCs/>
          <w:sz w:val="24"/>
        </w:rPr>
        <w:t>万元、商品和服务支出2,</w:t>
      </w:r>
      <w:r>
        <w:rPr>
          <w:rFonts w:asciiTheme="minorEastAsia" w:hAnsiTheme="minorEastAsia" w:eastAsiaTheme="minorEastAsia" w:cstheme="minorEastAsia"/>
          <w:bCs/>
          <w:sz w:val="24"/>
        </w:rPr>
        <w:t>739.72</w:t>
      </w:r>
      <w:r>
        <w:rPr>
          <w:rFonts w:hint="eastAsia" w:asciiTheme="minorEastAsia" w:hAnsiTheme="minorEastAsia" w:eastAsiaTheme="minorEastAsia" w:cstheme="minorEastAsia"/>
          <w:bCs/>
          <w:sz w:val="24"/>
        </w:rPr>
        <w:t>万元。</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2.项目资金执行情况分析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全年项目经费支出2,986.92万元，资金使用率为65.88%，项目执行情况20分，得分13.18分。本专项共设</w:t>
      </w:r>
      <w:r>
        <w:rPr>
          <w:rFonts w:asciiTheme="minorEastAsia" w:hAnsiTheme="minorEastAsia" w:eastAsiaTheme="minorEastAsia" w:cstheme="minorEastAsia"/>
          <w:bCs/>
          <w:sz w:val="24"/>
        </w:rPr>
        <w:t>3</w:t>
      </w:r>
      <w:r>
        <w:rPr>
          <w:rFonts w:hint="eastAsia" w:asciiTheme="minorEastAsia" w:hAnsiTheme="minorEastAsia" w:eastAsiaTheme="minorEastAsia" w:cstheme="minorEastAsia"/>
          <w:bCs/>
          <w:sz w:val="24"/>
        </w:rPr>
        <w:t>个二级项目，具体情况见表2。</w:t>
      </w:r>
    </w:p>
    <w:p>
      <w:pPr>
        <w:spacing w:line="480" w:lineRule="exact"/>
        <w:ind w:firstLine="422" w:firstLineChars="200"/>
        <w:jc w:val="center"/>
        <w:rPr>
          <w:rFonts w:hAnsiTheme="minorEastAsia" w:eastAsiaTheme="minorEastAsia"/>
          <w:b/>
          <w:bCs/>
          <w:sz w:val="21"/>
          <w:szCs w:val="21"/>
        </w:rPr>
      </w:pPr>
      <w:r>
        <w:rPr>
          <w:rFonts w:hAnsiTheme="minorEastAsia" w:eastAsiaTheme="minorEastAsia"/>
          <w:b/>
          <w:bCs/>
          <w:sz w:val="21"/>
          <w:szCs w:val="21"/>
        </w:rPr>
        <w:t>表</w:t>
      </w:r>
      <w:r>
        <w:rPr>
          <w:rFonts w:hint="eastAsia" w:eastAsiaTheme="minorEastAsia"/>
          <w:b/>
          <w:bCs/>
          <w:sz w:val="21"/>
          <w:szCs w:val="21"/>
        </w:rPr>
        <w:t>2 项目</w:t>
      </w:r>
      <w:r>
        <w:rPr>
          <w:rFonts w:hint="eastAsia" w:hAnsiTheme="minorEastAsia" w:eastAsiaTheme="minorEastAsia"/>
          <w:b/>
          <w:bCs/>
          <w:sz w:val="21"/>
          <w:szCs w:val="21"/>
        </w:rPr>
        <w:t>资金执行</w:t>
      </w:r>
      <w:r>
        <w:rPr>
          <w:rFonts w:hAnsiTheme="minorEastAsia" w:eastAsiaTheme="minorEastAsia"/>
          <w:b/>
          <w:bCs/>
          <w:sz w:val="21"/>
          <w:szCs w:val="21"/>
        </w:rPr>
        <w:t>情况</w:t>
      </w:r>
    </w:p>
    <w:tbl>
      <w:tblPr>
        <w:tblStyle w:val="10"/>
        <w:tblW w:w="8522" w:type="dxa"/>
        <w:jc w:val="center"/>
        <w:tblInd w:w="0" w:type="dxa"/>
        <w:tblLayout w:type="fixed"/>
        <w:tblCellMar>
          <w:top w:w="0" w:type="dxa"/>
          <w:left w:w="108" w:type="dxa"/>
          <w:bottom w:w="0" w:type="dxa"/>
          <w:right w:w="108" w:type="dxa"/>
        </w:tblCellMar>
      </w:tblPr>
      <w:tblGrid>
        <w:gridCol w:w="694"/>
        <w:gridCol w:w="3702"/>
        <w:gridCol w:w="1058"/>
        <w:gridCol w:w="1548"/>
        <w:gridCol w:w="1520"/>
      </w:tblGrid>
      <w:tr>
        <w:tblPrEx>
          <w:tblLayout w:type="fixed"/>
          <w:tblCellMar>
            <w:top w:w="0" w:type="dxa"/>
            <w:left w:w="108" w:type="dxa"/>
            <w:bottom w:w="0" w:type="dxa"/>
            <w:right w:w="108" w:type="dxa"/>
          </w:tblCellMar>
        </w:tblPrEx>
        <w:trPr>
          <w:trHeight w:val="877" w:hRule="atLeast"/>
          <w:jc w:val="center"/>
        </w:trPr>
        <w:tc>
          <w:tcPr>
            <w:tcW w:w="694"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3702" w:type="dxa"/>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项目名称</w:t>
            </w:r>
          </w:p>
        </w:tc>
        <w:tc>
          <w:tcPr>
            <w:tcW w:w="105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预算数</w:t>
            </w:r>
          </w:p>
        </w:tc>
        <w:tc>
          <w:tcPr>
            <w:tcW w:w="1548"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预算执行数</w:t>
            </w:r>
          </w:p>
        </w:tc>
        <w:tc>
          <w:tcPr>
            <w:tcW w:w="1520"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预算执行率</w:t>
            </w:r>
          </w:p>
        </w:tc>
      </w:tr>
      <w:tr>
        <w:tblPrEx>
          <w:tblLayout w:type="fixed"/>
          <w:tblCellMar>
            <w:top w:w="0" w:type="dxa"/>
            <w:left w:w="108" w:type="dxa"/>
            <w:bottom w:w="0" w:type="dxa"/>
            <w:right w:w="108" w:type="dxa"/>
          </w:tblCellMar>
        </w:tblPrEx>
        <w:trPr>
          <w:trHeight w:val="489" w:hRule="atLeast"/>
          <w:jc w:val="center"/>
        </w:trPr>
        <w:tc>
          <w:tcPr>
            <w:tcW w:w="69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702" w:type="dxa"/>
            <w:tcBorders>
              <w:top w:val="single" w:color="auto" w:sz="8" w:space="0"/>
              <w:left w:val="nil"/>
              <w:bottom w:val="single" w:color="auto" w:sz="8" w:space="0"/>
              <w:right w:val="nil"/>
            </w:tcBorders>
            <w:shd w:val="clear" w:color="auto" w:fill="auto"/>
            <w:vAlign w:val="center"/>
          </w:tcPr>
          <w:p>
            <w:pPr>
              <w:widowControl/>
              <w:jc w:val="center"/>
              <w:rPr>
                <w:rFonts w:ascii="宋体" w:hAnsi="宋体" w:eastAsia="宋体" w:cs="宋体"/>
                <w:color w:val="000000"/>
                <w:kern w:val="0"/>
                <w:sz w:val="21"/>
                <w:szCs w:val="21"/>
              </w:rPr>
            </w:pPr>
            <w:bookmarkStart w:id="2" w:name="_Hlk9078233"/>
            <w:r>
              <w:rPr>
                <w:rFonts w:hint="eastAsia" w:ascii="宋体" w:hAnsi="宋体" w:eastAsia="宋体" w:cs="宋体"/>
                <w:color w:val="000000"/>
                <w:kern w:val="0"/>
                <w:sz w:val="21"/>
                <w:szCs w:val="21"/>
              </w:rPr>
              <w:t>重点学科建设经费</w:t>
            </w:r>
            <w:bookmarkEnd w:id="2"/>
          </w:p>
        </w:tc>
        <w:tc>
          <w:tcPr>
            <w:tcW w:w="105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2</w:t>
            </w:r>
            <w:r>
              <w:rPr>
                <w:rFonts w:hint="eastAsia" w:eastAsia="宋体"/>
                <w:color w:val="000000"/>
                <w:kern w:val="0"/>
                <w:sz w:val="21"/>
                <w:szCs w:val="21"/>
              </w:rPr>
              <w:t>,</w:t>
            </w:r>
            <w:r>
              <w:rPr>
                <w:rFonts w:eastAsia="宋体"/>
                <w:color w:val="000000"/>
                <w:kern w:val="0"/>
                <w:sz w:val="21"/>
                <w:szCs w:val="21"/>
              </w:rPr>
              <w:t>500</w:t>
            </w:r>
            <w:r>
              <w:rPr>
                <w:rFonts w:hint="eastAsia" w:eastAsia="宋体"/>
                <w:color w:val="000000"/>
                <w:kern w:val="0"/>
                <w:sz w:val="21"/>
                <w:szCs w:val="21"/>
              </w:rPr>
              <w:t>.00</w:t>
            </w:r>
          </w:p>
        </w:tc>
        <w:tc>
          <w:tcPr>
            <w:tcW w:w="1548"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w:t>
            </w:r>
            <w:r>
              <w:rPr>
                <w:rFonts w:eastAsia="宋体"/>
                <w:color w:val="000000"/>
                <w:kern w:val="0"/>
                <w:sz w:val="21"/>
                <w:szCs w:val="21"/>
              </w:rPr>
              <w:t>613.67</w:t>
            </w:r>
          </w:p>
        </w:tc>
        <w:tc>
          <w:tcPr>
            <w:tcW w:w="1520"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64.55%</w:t>
            </w:r>
          </w:p>
        </w:tc>
      </w:tr>
      <w:tr>
        <w:tblPrEx>
          <w:tblLayout w:type="fixed"/>
          <w:tblCellMar>
            <w:top w:w="0" w:type="dxa"/>
            <w:left w:w="108" w:type="dxa"/>
            <w:bottom w:w="0" w:type="dxa"/>
            <w:right w:w="108" w:type="dxa"/>
          </w:tblCellMar>
        </w:tblPrEx>
        <w:trPr>
          <w:trHeight w:val="539" w:hRule="atLeast"/>
          <w:jc w:val="center"/>
        </w:trPr>
        <w:tc>
          <w:tcPr>
            <w:tcW w:w="69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702" w:type="dxa"/>
            <w:tcBorders>
              <w:top w:val="single" w:color="auto" w:sz="8" w:space="0"/>
              <w:left w:val="nil"/>
              <w:bottom w:val="single" w:color="auto" w:sz="8" w:space="0"/>
              <w:right w:val="nil"/>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师资队伍建设经费</w:t>
            </w:r>
          </w:p>
        </w:tc>
        <w:tc>
          <w:tcPr>
            <w:tcW w:w="105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w:t>
            </w:r>
            <w:r>
              <w:rPr>
                <w:rFonts w:eastAsia="宋体"/>
                <w:color w:val="000000"/>
                <w:kern w:val="0"/>
                <w:sz w:val="21"/>
                <w:szCs w:val="21"/>
              </w:rPr>
              <w:t>824</w:t>
            </w:r>
            <w:r>
              <w:rPr>
                <w:rFonts w:hint="eastAsia" w:eastAsia="宋体"/>
                <w:color w:val="000000"/>
                <w:kern w:val="0"/>
                <w:sz w:val="21"/>
                <w:szCs w:val="21"/>
              </w:rPr>
              <w:t>.00</w:t>
            </w:r>
          </w:p>
        </w:tc>
        <w:tc>
          <w:tcPr>
            <w:tcW w:w="1548"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1</w:t>
            </w:r>
            <w:r>
              <w:rPr>
                <w:rFonts w:hint="eastAsia" w:eastAsia="宋体"/>
                <w:color w:val="000000"/>
                <w:kern w:val="0"/>
                <w:sz w:val="21"/>
                <w:szCs w:val="21"/>
              </w:rPr>
              <w:t>,</w:t>
            </w:r>
            <w:r>
              <w:rPr>
                <w:rFonts w:eastAsia="宋体"/>
                <w:color w:val="000000"/>
                <w:kern w:val="0"/>
                <w:sz w:val="21"/>
                <w:szCs w:val="21"/>
              </w:rPr>
              <w:t>325.85</w:t>
            </w:r>
          </w:p>
        </w:tc>
        <w:tc>
          <w:tcPr>
            <w:tcW w:w="1520"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72.69%</w:t>
            </w:r>
          </w:p>
        </w:tc>
      </w:tr>
      <w:tr>
        <w:tblPrEx>
          <w:tblLayout w:type="fixed"/>
          <w:tblCellMar>
            <w:top w:w="0" w:type="dxa"/>
            <w:left w:w="108" w:type="dxa"/>
            <w:bottom w:w="0" w:type="dxa"/>
            <w:right w:w="108" w:type="dxa"/>
          </w:tblCellMar>
        </w:tblPrEx>
        <w:trPr>
          <w:trHeight w:val="561" w:hRule="atLeast"/>
          <w:jc w:val="center"/>
        </w:trPr>
        <w:tc>
          <w:tcPr>
            <w:tcW w:w="694"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702" w:type="dxa"/>
            <w:tcBorders>
              <w:top w:val="single" w:color="auto" w:sz="8" w:space="0"/>
              <w:left w:val="nil"/>
              <w:bottom w:val="single" w:color="auto" w:sz="8" w:space="0"/>
              <w:right w:val="nil"/>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办学条件建设经费</w:t>
            </w:r>
          </w:p>
        </w:tc>
        <w:tc>
          <w:tcPr>
            <w:tcW w:w="1058"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eastAsia="宋体"/>
                <w:color w:val="000000"/>
                <w:kern w:val="0"/>
                <w:sz w:val="21"/>
                <w:szCs w:val="21"/>
              </w:rPr>
              <w:t>210</w:t>
            </w:r>
            <w:r>
              <w:rPr>
                <w:rFonts w:hint="eastAsia" w:eastAsia="宋体"/>
                <w:color w:val="000000"/>
                <w:kern w:val="0"/>
                <w:sz w:val="21"/>
                <w:szCs w:val="21"/>
              </w:rPr>
              <w:t>.00</w:t>
            </w:r>
          </w:p>
        </w:tc>
        <w:tc>
          <w:tcPr>
            <w:tcW w:w="1548"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47.4</w:t>
            </w:r>
          </w:p>
        </w:tc>
        <w:tc>
          <w:tcPr>
            <w:tcW w:w="1520"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22.58</w:t>
            </w:r>
            <w:r>
              <w:rPr>
                <w:rFonts w:eastAsia="宋体"/>
                <w:color w:val="000000"/>
                <w:kern w:val="0"/>
                <w:sz w:val="21"/>
                <w:szCs w:val="21"/>
              </w:rPr>
              <w:t>%</w:t>
            </w:r>
          </w:p>
        </w:tc>
      </w:tr>
      <w:tr>
        <w:tblPrEx>
          <w:tblLayout w:type="fixed"/>
          <w:tblCellMar>
            <w:top w:w="0" w:type="dxa"/>
            <w:left w:w="108" w:type="dxa"/>
            <w:bottom w:w="0" w:type="dxa"/>
            <w:right w:w="108" w:type="dxa"/>
          </w:tblCellMar>
        </w:tblPrEx>
        <w:trPr>
          <w:trHeight w:val="440" w:hRule="atLeast"/>
          <w:jc w:val="center"/>
        </w:trPr>
        <w:tc>
          <w:tcPr>
            <w:tcW w:w="4396"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1058"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4,534.00</w:t>
            </w:r>
          </w:p>
        </w:tc>
        <w:tc>
          <w:tcPr>
            <w:tcW w:w="1548"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2,986.92</w:t>
            </w:r>
          </w:p>
        </w:tc>
        <w:tc>
          <w:tcPr>
            <w:tcW w:w="1520" w:type="dxa"/>
            <w:tcBorders>
              <w:top w:val="nil"/>
              <w:left w:val="nil"/>
              <w:bottom w:val="single" w:color="auto" w:sz="8" w:space="0"/>
              <w:right w:val="single" w:color="auto" w:sz="8" w:space="0"/>
            </w:tcBorders>
            <w:shd w:val="clear" w:color="auto" w:fill="auto"/>
            <w:noWrap/>
            <w:vAlign w:val="center"/>
          </w:tcPr>
          <w:p>
            <w:pPr>
              <w:widowControl/>
              <w:jc w:val="center"/>
              <w:rPr>
                <w:rFonts w:eastAsia="宋体"/>
                <w:color w:val="000000"/>
                <w:kern w:val="0"/>
                <w:sz w:val="21"/>
                <w:szCs w:val="21"/>
              </w:rPr>
            </w:pPr>
            <w:r>
              <w:rPr>
                <w:rFonts w:hint="eastAsia" w:eastAsia="宋体"/>
                <w:color w:val="000000"/>
                <w:kern w:val="0"/>
                <w:sz w:val="21"/>
                <w:szCs w:val="21"/>
              </w:rPr>
              <w:t>65.88%</w:t>
            </w:r>
          </w:p>
        </w:tc>
      </w:tr>
    </w:tbl>
    <w:p>
      <w:pPr>
        <w:tabs>
          <w:tab w:val="left" w:pos="312"/>
        </w:tabs>
        <w:spacing w:line="480" w:lineRule="exact"/>
        <w:ind w:left="48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3.项目资金管理情况分析</w:t>
      </w:r>
    </w:p>
    <w:p>
      <w:pPr>
        <w:pStyle w:val="24"/>
        <w:spacing w:line="480" w:lineRule="exact"/>
        <w:jc w:val="both"/>
        <w:rPr>
          <w:rFonts w:ascii="Times New Roman" w:hAnsi="Times New Roman"/>
        </w:rPr>
      </w:pPr>
      <w:r>
        <w:rPr>
          <w:rFonts w:hint="eastAsia" w:asciiTheme="minorEastAsia" w:hAnsiTheme="minorEastAsia" w:eastAsiaTheme="minorEastAsia" w:cstheme="minorEastAsia"/>
          <w:bCs/>
        </w:rPr>
        <w:t>项目按照《三峡大学“十二五”及中长期科学和技术发展规划纲要》、《三峡大学“十三五”科技发展规划》、《三峡大学资金管理办法》（三峡大财〔</w:t>
      </w:r>
      <w:r>
        <w:rPr>
          <w:rFonts w:asciiTheme="minorEastAsia" w:hAnsiTheme="minorEastAsia" w:eastAsiaTheme="minorEastAsia" w:cstheme="minorEastAsia"/>
          <w:bCs/>
        </w:rPr>
        <w:t>2016</w:t>
      </w:r>
      <w:r>
        <w:rPr>
          <w:rFonts w:hint="eastAsia" w:asciiTheme="minorEastAsia" w:hAnsiTheme="minorEastAsia" w:eastAsiaTheme="minorEastAsia" w:cstheme="minorEastAsia"/>
          <w:bCs/>
        </w:rPr>
        <w:t>〕</w:t>
      </w:r>
      <w:r>
        <w:rPr>
          <w:rFonts w:asciiTheme="minorEastAsia" w:hAnsiTheme="minorEastAsia" w:eastAsiaTheme="minorEastAsia" w:cstheme="minorEastAsia"/>
          <w:bCs/>
        </w:rPr>
        <w:t>42号）、</w:t>
      </w:r>
      <w:r>
        <w:rPr>
          <w:rFonts w:hint="eastAsia" w:cs="宋体"/>
          <w:bCs/>
        </w:rPr>
        <w:t>《三峡大学出国（境）流程暂行规定》</w:t>
      </w:r>
      <w:r>
        <w:rPr>
          <w:rFonts w:hint="eastAsia" w:asciiTheme="minorEastAsia" w:hAnsiTheme="minorEastAsia" w:eastAsiaTheme="minorEastAsia" w:cstheme="minorEastAsia"/>
          <w:bCs/>
        </w:rPr>
        <w:t>（</w:t>
      </w:r>
      <w:r>
        <w:rPr>
          <w:rFonts w:hint="eastAsia" w:cs="宋体"/>
          <w:bCs/>
        </w:rPr>
        <w:t>三峡大外〔</w:t>
      </w:r>
      <w:r>
        <w:rPr>
          <w:rFonts w:cs="宋体"/>
          <w:bCs/>
        </w:rPr>
        <w:t>2011〕56号</w:t>
      </w:r>
      <w:r>
        <w:rPr>
          <w:rFonts w:hint="eastAsia" w:asciiTheme="minorEastAsia" w:hAnsiTheme="minorEastAsia" w:eastAsiaTheme="minorEastAsia" w:cstheme="minorEastAsia"/>
          <w:bCs/>
        </w:rPr>
        <w:t>）、《三峡大学财务开支审批管理办法》（三峡大财〔2017〕15号）、《三峡大学科研行为规范及管理职责》（三峡大科〔</w:t>
      </w:r>
      <w:r>
        <w:rPr>
          <w:rFonts w:asciiTheme="minorEastAsia" w:hAnsiTheme="minorEastAsia" w:eastAsiaTheme="minorEastAsia" w:cstheme="minorEastAsia"/>
          <w:bCs/>
        </w:rPr>
        <w:t>2017〕26号）等进行项目预算、执行、资金的管理</w:t>
      </w:r>
      <w:r>
        <w:rPr>
          <w:rFonts w:hint="eastAsia" w:asciiTheme="minorEastAsia" w:hAnsiTheme="minorEastAsia" w:eastAsiaTheme="minorEastAsia" w:cstheme="minorEastAsia"/>
          <w:bCs/>
        </w:rPr>
        <w:t>。</w:t>
      </w:r>
      <w:r>
        <w:rPr>
          <w:rFonts w:ascii="Times New Roman" w:hAnsi="Times New Roman"/>
        </w:rPr>
        <w:t>在专项资金管理方面，设立专账，实行专款专用，未发现截留、挤占、挪用、虚假列支等现象。专项资金一律通过银行代发的方式进行</w:t>
      </w:r>
      <w:r>
        <w:rPr>
          <w:rFonts w:hint="eastAsia" w:ascii="Times New Roman" w:hAnsi="Times New Roman"/>
        </w:rPr>
        <w:t>支付</w:t>
      </w:r>
      <w:r>
        <w:rPr>
          <w:rFonts w:ascii="Times New Roman" w:hAnsi="Times New Roman"/>
        </w:rPr>
        <w:t>。</w:t>
      </w:r>
    </w:p>
    <w:p>
      <w:pPr>
        <w:spacing w:line="480" w:lineRule="exact"/>
        <w:ind w:firstLine="482" w:firstLineChars="200"/>
        <w:outlineLvl w:val="0"/>
        <w:rPr>
          <w:rFonts w:asciiTheme="minorEastAsia" w:hAnsiTheme="minorEastAsia" w:eastAsiaTheme="minorEastAsia" w:cstheme="minorEastAsia"/>
          <w:b/>
          <w:bCs/>
          <w:szCs w:val="32"/>
        </w:rPr>
      </w:pPr>
      <w:r>
        <w:rPr>
          <w:rFonts w:hint="eastAsia" w:asciiTheme="minorEastAsia" w:hAnsiTheme="minorEastAsia" w:eastAsiaTheme="minorEastAsia" w:cstheme="minorEastAsia"/>
          <w:b/>
          <w:sz w:val="24"/>
        </w:rPr>
        <w:t>（二）绩效目标完成情况分析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1.产出指标完成情况分析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）完成情况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项目产出指标分值40分，由数量指标、质量指标2个类别的二级指标组成，共设</w:t>
      </w:r>
      <w:r>
        <w:rPr>
          <w:rFonts w:asciiTheme="minorEastAsia" w:hAnsiTheme="minorEastAsia" w:eastAsiaTheme="minorEastAsia" w:cstheme="minorEastAsia"/>
          <w:sz w:val="24"/>
        </w:rPr>
        <w:t>14</w:t>
      </w:r>
      <w:r>
        <w:rPr>
          <w:rFonts w:hint="eastAsia" w:asciiTheme="minorEastAsia" w:hAnsiTheme="minorEastAsia" w:eastAsiaTheme="minorEastAsia" w:cstheme="minorEastAsia"/>
          <w:sz w:val="24"/>
        </w:rPr>
        <w:t>个三级产出指标，得分</w:t>
      </w:r>
      <w:r>
        <w:rPr>
          <w:rFonts w:asciiTheme="minorEastAsia" w:hAnsiTheme="minorEastAsia" w:eastAsiaTheme="minorEastAsia" w:cstheme="minorEastAsia"/>
          <w:sz w:val="24"/>
        </w:rPr>
        <w:t>37</w:t>
      </w:r>
      <w:r>
        <w:rPr>
          <w:rFonts w:hint="eastAsia" w:asciiTheme="minorEastAsia" w:hAnsiTheme="minorEastAsia" w:eastAsiaTheme="minorEastAsia" w:cstheme="minorEastAsia"/>
          <w:sz w:val="24"/>
        </w:rPr>
        <w:t>分，具体三级指标评价情况如下。</w:t>
      </w:r>
    </w:p>
    <w:p>
      <w:pPr>
        <w:spacing w:line="480" w:lineRule="exact"/>
        <w:ind w:firstLine="480" w:firstLineChars="200"/>
        <w:rPr>
          <w:rFonts w:ascii="仿宋_GB2312"/>
          <w:sz w:val="24"/>
        </w:rPr>
      </w:pPr>
      <w:r>
        <w:rPr>
          <w:rFonts w:hint="eastAsia" w:asciiTheme="minorEastAsia" w:hAnsiTheme="minorEastAsia" w:eastAsiaTheme="minorEastAsia" w:cstheme="minorEastAsia"/>
          <w:sz w:val="24"/>
        </w:rPr>
        <w:t>1）“重点学科建设经费”中“教学科研平台”年度目标值为“</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个”，权重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分。根据三峡大学文件（三峡大科〔201</w:t>
      </w:r>
      <w:r>
        <w:rPr>
          <w:rFonts w:asciiTheme="minorEastAsia" w:hAnsiTheme="minorEastAsia" w:eastAsiaTheme="minorEastAsia" w:cstheme="minorEastAsia"/>
          <w:sz w:val="24"/>
        </w:rPr>
        <w:t>8</w:t>
      </w:r>
      <w:r>
        <w:rPr>
          <w:rFonts w:hint="eastAsia" w:asciiTheme="minorEastAsia" w:hAnsiTheme="minorEastAsia" w:eastAsiaTheme="minorEastAsia" w:cstheme="minorEastAsia"/>
          <w:sz w:val="24"/>
        </w:rPr>
        <w:t>〕29号、40号）、长江经济带生态文明创新研究联盟成立大会会议手册，实际完成值6个，完成绩效目标，得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bookmarkStart w:id="3" w:name="_Hlk9079475"/>
      <w:r>
        <w:rPr>
          <w:rFonts w:hint="eastAsia" w:asciiTheme="minorEastAsia" w:hAnsiTheme="minorEastAsia" w:eastAsiaTheme="minorEastAsia" w:cstheme="minorEastAsia"/>
          <w:sz w:val="24"/>
        </w:rPr>
        <w:t>“重点学科建设经费”中“引进高端人才及引进博士”年度目标值为“1</w:t>
      </w:r>
      <w:r>
        <w:rPr>
          <w:rFonts w:asciiTheme="minorEastAsia" w:hAnsiTheme="minorEastAsia" w:eastAsiaTheme="minorEastAsia" w:cstheme="minorEastAsia"/>
          <w:sz w:val="24"/>
        </w:rPr>
        <w:t>8</w:t>
      </w:r>
      <w:r>
        <w:rPr>
          <w:rFonts w:hint="eastAsia" w:asciiTheme="minorEastAsia" w:hAnsiTheme="minorEastAsia" w:eastAsiaTheme="minorEastAsia" w:cstheme="minorEastAsia"/>
          <w:sz w:val="24"/>
        </w:rPr>
        <w:t>人”，权重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分。根据人事处提供《电气与新能源学院2018引进博士明细表》、人才引进工作待遇协议，实际完成值</w:t>
      </w:r>
      <w:r>
        <w:rPr>
          <w:rFonts w:asciiTheme="minorEastAsia" w:hAnsiTheme="minorEastAsia" w:eastAsiaTheme="minorEastAsia" w:cstheme="minorEastAsia"/>
          <w:sz w:val="24"/>
        </w:rPr>
        <w:t>9</w:t>
      </w:r>
      <w:r>
        <w:rPr>
          <w:rFonts w:hint="eastAsia" w:asciiTheme="minorEastAsia" w:hAnsiTheme="minorEastAsia" w:eastAsiaTheme="minorEastAsia" w:cstheme="minorEastAsia"/>
          <w:sz w:val="24"/>
        </w:rPr>
        <w:t>人，未完成绩效目标，得</w:t>
      </w:r>
      <w:r>
        <w:rPr>
          <w:rFonts w:asciiTheme="minorEastAsia" w:hAnsiTheme="minorEastAsia" w:eastAsiaTheme="minorEastAsia" w:cstheme="minorEastAsia"/>
          <w:sz w:val="24"/>
        </w:rPr>
        <w:t>1.5</w:t>
      </w:r>
      <w:r>
        <w:rPr>
          <w:rFonts w:hint="eastAsia" w:asciiTheme="minorEastAsia" w:hAnsiTheme="minorEastAsia" w:eastAsiaTheme="minorEastAsia" w:cstheme="minorEastAsia"/>
          <w:sz w:val="24"/>
        </w:rPr>
        <w:t>分。</w:t>
      </w:r>
      <w:bookmarkEnd w:id="3"/>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3）“重点学科建设经费”中“培育和申报国家级高层次人才工程”年度目标值为“</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分。根据人事处提供《培育及申报国家级高层次人才工程（学科带头人）》，实际完成值</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人，完成绩效目标，得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4）</w:t>
      </w:r>
      <w:r>
        <w:rPr>
          <w:rFonts w:hint="eastAsia" w:asciiTheme="minorEastAsia" w:hAnsiTheme="minorEastAsia" w:eastAsiaTheme="minorEastAsia" w:cstheme="minorEastAsia"/>
          <w:sz w:val="24"/>
        </w:rPr>
        <w:t>“重点学科建设经费”中“高水平论文”年度目标值为“</w:t>
      </w:r>
      <w:r>
        <w:rPr>
          <w:rFonts w:asciiTheme="minorEastAsia" w:hAnsiTheme="minorEastAsia" w:eastAsiaTheme="minorEastAsia" w:cstheme="minorEastAsia"/>
          <w:sz w:val="24"/>
        </w:rPr>
        <w:t>20</w:t>
      </w:r>
      <w:r>
        <w:rPr>
          <w:rFonts w:hint="eastAsia" w:asciiTheme="minorEastAsia" w:hAnsiTheme="minorEastAsia" w:eastAsiaTheme="minorEastAsia" w:cstheme="minorEastAsia"/>
          <w:sz w:val="24"/>
        </w:rPr>
        <w:t>篇”，权重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分。根据学科办提供《高水平论文清单》，实际完成值</w:t>
      </w:r>
      <w:r>
        <w:rPr>
          <w:rFonts w:asciiTheme="minorEastAsia" w:hAnsiTheme="minorEastAsia" w:eastAsiaTheme="minorEastAsia" w:cstheme="minorEastAsia"/>
          <w:sz w:val="24"/>
        </w:rPr>
        <w:t>20</w:t>
      </w:r>
      <w:r>
        <w:rPr>
          <w:rFonts w:hint="eastAsia" w:asciiTheme="minorEastAsia" w:hAnsiTheme="minorEastAsia" w:eastAsiaTheme="minorEastAsia" w:cstheme="minorEastAsia"/>
          <w:sz w:val="24"/>
        </w:rPr>
        <w:t>篇，完成绩效目标，得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5）</w:t>
      </w:r>
      <w:bookmarkStart w:id="4" w:name="_Hlk9079598"/>
      <w:r>
        <w:rPr>
          <w:rFonts w:hint="eastAsia" w:asciiTheme="minorEastAsia" w:hAnsiTheme="minorEastAsia" w:eastAsiaTheme="minorEastAsia" w:cstheme="minorEastAsia"/>
          <w:sz w:val="24"/>
        </w:rPr>
        <w:t>“重点学科建设经费”中“发明专利”年度目标值为“</w:t>
      </w:r>
      <w:r>
        <w:rPr>
          <w:rFonts w:asciiTheme="minorEastAsia" w:hAnsiTheme="minorEastAsia" w:eastAsiaTheme="minorEastAsia" w:cstheme="minorEastAsia"/>
          <w:sz w:val="24"/>
        </w:rPr>
        <w:t>10</w:t>
      </w:r>
      <w:r>
        <w:rPr>
          <w:rFonts w:hint="eastAsia" w:asciiTheme="minorEastAsia" w:hAnsiTheme="minorEastAsia" w:eastAsiaTheme="minorEastAsia" w:cstheme="minorEastAsia"/>
          <w:sz w:val="24"/>
        </w:rPr>
        <w:t>项”，权重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分。根据学科办提供《发明专利证书》，实际完成值</w:t>
      </w:r>
      <w:r>
        <w:rPr>
          <w:rFonts w:asciiTheme="minorEastAsia" w:hAnsiTheme="minorEastAsia" w:eastAsiaTheme="minorEastAsia" w:cstheme="minorEastAsia"/>
          <w:sz w:val="24"/>
        </w:rPr>
        <w:t>20</w:t>
      </w:r>
      <w:r>
        <w:rPr>
          <w:rFonts w:hint="eastAsia" w:asciiTheme="minorEastAsia" w:hAnsiTheme="minorEastAsia" w:eastAsiaTheme="minorEastAsia" w:cstheme="minorEastAsia"/>
          <w:sz w:val="24"/>
        </w:rPr>
        <w:t>项，完成绩效目标，得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bookmarkEnd w:id="4"/>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6）</w:t>
      </w:r>
      <w:r>
        <w:rPr>
          <w:rFonts w:hint="eastAsia" w:asciiTheme="minorEastAsia" w:hAnsiTheme="minorEastAsia" w:eastAsiaTheme="minorEastAsia" w:cstheme="minorEastAsia"/>
          <w:sz w:val="24"/>
        </w:rPr>
        <w:t>“重点学科建设经费”中“申报及获批省部级科技奖励次数”年度目标值为“</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次”，权重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分。根据学科办提供奖励证书、《2018年度湖北省科学技术奖建议授奖项目名单》，实际完成值</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次，完成绩效目标，得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7）</w:t>
      </w:r>
      <w:bookmarkStart w:id="5" w:name="_Hlk9078858"/>
      <w:r>
        <w:rPr>
          <w:rFonts w:hint="eastAsia" w:asciiTheme="minorEastAsia" w:hAnsiTheme="minorEastAsia" w:eastAsiaTheme="minorEastAsia" w:cstheme="minorEastAsia"/>
          <w:sz w:val="24"/>
        </w:rPr>
        <w:t>“重点学科建设经费”中“举办国际国内学术会议次数”年度目标值为“</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次”，权重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分。根据三峡大学网站网页截图，实际完成值</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次，完成绩效目标，得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bookmarkEnd w:id="5"/>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8）“师资队伍建设经费”中“引进、培养回校博士、教授等高层次人才数量”年度目标值为“</w:t>
      </w:r>
      <w:r>
        <w:rPr>
          <w:rFonts w:ascii="宋体" w:hAnsi="宋体" w:eastAsia="宋体" w:cs="宋体"/>
          <w:kern w:val="0"/>
          <w:sz w:val="24"/>
        </w:rPr>
        <w:t>65</w:t>
      </w:r>
      <w:r>
        <w:rPr>
          <w:rFonts w:hint="eastAsia" w:ascii="宋体" w:hAnsi="宋体" w:eastAsia="宋体" w:cs="宋体"/>
          <w:kern w:val="0"/>
          <w:sz w:val="24"/>
        </w:rPr>
        <w:t>人”，权重3分。根据人事处提供《2018年新增博士、教授等高层次人才基本情况》、人才引进工作待遇协议，实际完成值</w:t>
      </w:r>
      <w:r>
        <w:rPr>
          <w:rFonts w:ascii="宋体" w:hAnsi="宋体" w:eastAsia="宋体" w:cs="宋体"/>
          <w:kern w:val="0"/>
          <w:sz w:val="24"/>
        </w:rPr>
        <w:t>65</w:t>
      </w:r>
      <w:r>
        <w:rPr>
          <w:rFonts w:hint="eastAsia" w:ascii="宋体" w:hAnsi="宋体" w:eastAsia="宋体" w:cs="宋体"/>
          <w:kern w:val="0"/>
          <w:sz w:val="24"/>
        </w:rPr>
        <w:t>人，完成绩效目标，得3分。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9）“师资队伍建设经费”中“新增外聘各类专家数量”年度目标值为“</w:t>
      </w:r>
      <w:r>
        <w:rPr>
          <w:rFonts w:ascii="宋体" w:hAnsi="宋体" w:eastAsia="宋体" w:cs="宋体"/>
          <w:kern w:val="0"/>
          <w:sz w:val="24"/>
        </w:rPr>
        <w:t>3-5</w:t>
      </w:r>
      <w:r>
        <w:rPr>
          <w:rFonts w:hint="eastAsia" w:ascii="宋体" w:hAnsi="宋体" w:eastAsia="宋体" w:cs="宋体"/>
          <w:kern w:val="0"/>
          <w:sz w:val="24"/>
        </w:rPr>
        <w:t>人”，权重3分。根据人事处提供《2018年新增外聘各类专家花名册》，实际完成值</w:t>
      </w:r>
      <w:r>
        <w:rPr>
          <w:rFonts w:ascii="宋体" w:hAnsi="宋体" w:eastAsia="宋体" w:cs="宋体"/>
          <w:kern w:val="0"/>
          <w:sz w:val="24"/>
        </w:rPr>
        <w:t>5</w:t>
      </w:r>
      <w:r>
        <w:rPr>
          <w:rFonts w:hint="eastAsia" w:ascii="宋体" w:hAnsi="宋体" w:eastAsia="宋体" w:cs="宋体"/>
          <w:kern w:val="0"/>
          <w:sz w:val="24"/>
        </w:rPr>
        <w:t>人，完成绩效目标，得3分。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10）“师资队伍建设经费”中“选派骨干教师出国研修人数”年度目标值为“</w:t>
      </w:r>
      <w:r>
        <w:rPr>
          <w:rFonts w:ascii="宋体" w:hAnsi="宋体" w:eastAsia="宋体" w:cs="宋体"/>
          <w:kern w:val="0"/>
          <w:sz w:val="24"/>
        </w:rPr>
        <w:t>27</w:t>
      </w:r>
      <w:r>
        <w:rPr>
          <w:rFonts w:hint="eastAsia" w:ascii="宋体" w:hAnsi="宋体" w:eastAsia="宋体" w:cs="宋体"/>
          <w:kern w:val="0"/>
          <w:sz w:val="24"/>
        </w:rPr>
        <w:t>人”，权重3分。根据人事处提供《2018年出国研修人员名单》，实际完成值3</w:t>
      </w:r>
      <w:r>
        <w:rPr>
          <w:rFonts w:ascii="宋体" w:hAnsi="宋体" w:eastAsia="宋体" w:cs="宋体"/>
          <w:kern w:val="0"/>
          <w:sz w:val="24"/>
        </w:rPr>
        <w:t>5</w:t>
      </w:r>
      <w:r>
        <w:rPr>
          <w:rFonts w:hint="eastAsia" w:ascii="宋体" w:hAnsi="宋体" w:eastAsia="宋体" w:cs="宋体"/>
          <w:kern w:val="0"/>
          <w:sz w:val="24"/>
        </w:rPr>
        <w:t>人，完成绩效目标，得3分。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11）</w:t>
      </w:r>
      <w:bookmarkStart w:id="6" w:name="_Hlk9079109"/>
      <w:r>
        <w:rPr>
          <w:rFonts w:hint="eastAsia" w:ascii="宋体" w:hAnsi="宋体" w:eastAsia="宋体" w:cs="宋体"/>
          <w:kern w:val="0"/>
          <w:sz w:val="24"/>
        </w:rPr>
        <w:t>“师资队伍建设经费”中“选派骨干教师国内访学人数”年度目标值为“</w:t>
      </w:r>
      <w:r>
        <w:rPr>
          <w:rFonts w:ascii="宋体" w:hAnsi="宋体" w:eastAsia="宋体" w:cs="宋体"/>
          <w:kern w:val="0"/>
          <w:sz w:val="24"/>
        </w:rPr>
        <w:t>6</w:t>
      </w:r>
      <w:r>
        <w:rPr>
          <w:rFonts w:hint="eastAsia" w:ascii="宋体" w:hAnsi="宋体" w:eastAsia="宋体" w:cs="宋体"/>
          <w:kern w:val="0"/>
          <w:sz w:val="24"/>
        </w:rPr>
        <w:t>人”，权重3分。根据人事处提供《2018年国内访学人员名单》，实际完成值</w:t>
      </w:r>
      <w:r>
        <w:rPr>
          <w:rFonts w:ascii="宋体" w:hAnsi="宋体" w:eastAsia="宋体" w:cs="宋体"/>
          <w:kern w:val="0"/>
          <w:sz w:val="24"/>
        </w:rPr>
        <w:t>6</w:t>
      </w:r>
      <w:r>
        <w:rPr>
          <w:rFonts w:hint="eastAsia" w:ascii="宋体" w:hAnsi="宋体" w:eastAsia="宋体" w:cs="宋体"/>
          <w:kern w:val="0"/>
          <w:sz w:val="24"/>
        </w:rPr>
        <w:t>人，完成绩效目标，得3分。</w:t>
      </w:r>
      <w:bookmarkEnd w:id="6"/>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12）</w:t>
      </w:r>
      <w:bookmarkStart w:id="7" w:name="_Hlk9079156"/>
      <w:r>
        <w:rPr>
          <w:rFonts w:hint="eastAsia" w:ascii="宋体" w:hAnsi="宋体" w:eastAsia="宋体" w:cs="宋体"/>
          <w:kern w:val="0"/>
          <w:sz w:val="24"/>
        </w:rPr>
        <w:t>“师资队伍建设经费”中“选派教师进行实践能力培养人数”年度目标值为“</w:t>
      </w:r>
      <w:r>
        <w:rPr>
          <w:rFonts w:ascii="宋体" w:hAnsi="宋体" w:eastAsia="宋体" w:cs="宋体"/>
          <w:kern w:val="0"/>
          <w:sz w:val="24"/>
        </w:rPr>
        <w:t>10</w:t>
      </w:r>
      <w:r>
        <w:rPr>
          <w:rFonts w:hint="eastAsia" w:ascii="宋体" w:hAnsi="宋体" w:eastAsia="宋体" w:cs="宋体"/>
          <w:kern w:val="0"/>
          <w:sz w:val="24"/>
        </w:rPr>
        <w:t>人”，权重2分。根据人事处提供《2018年教师实践能力培养（挂职锻炼）人员名单》，实际完成值</w:t>
      </w:r>
      <w:r>
        <w:rPr>
          <w:rFonts w:ascii="宋体" w:hAnsi="宋体" w:eastAsia="宋体" w:cs="宋体"/>
          <w:kern w:val="0"/>
          <w:sz w:val="24"/>
        </w:rPr>
        <w:t>23</w:t>
      </w:r>
      <w:r>
        <w:rPr>
          <w:rFonts w:hint="eastAsia" w:ascii="宋体" w:hAnsi="宋体" w:eastAsia="宋体" w:cs="宋体"/>
          <w:kern w:val="0"/>
          <w:sz w:val="24"/>
        </w:rPr>
        <w:t>人，完成绩效目标，得2分。</w:t>
      </w:r>
      <w:bookmarkEnd w:id="7"/>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13）</w:t>
      </w:r>
      <w:bookmarkStart w:id="8" w:name="_Hlk9079209"/>
      <w:r>
        <w:rPr>
          <w:rFonts w:hint="eastAsia" w:ascii="宋体" w:hAnsi="宋体" w:eastAsia="宋体" w:cs="宋体"/>
          <w:kern w:val="0"/>
          <w:sz w:val="24"/>
        </w:rPr>
        <w:t>“师资队伍建设经费”中“选派教师参加各类专题业务培训人数”年度目标值为“</w:t>
      </w:r>
      <w:r>
        <w:rPr>
          <w:rFonts w:ascii="宋体" w:hAnsi="宋体" w:eastAsia="宋体" w:cs="宋体"/>
          <w:kern w:val="0"/>
          <w:sz w:val="24"/>
        </w:rPr>
        <w:t>200</w:t>
      </w:r>
      <w:r>
        <w:rPr>
          <w:rFonts w:hint="eastAsia" w:ascii="宋体" w:hAnsi="宋体" w:eastAsia="宋体" w:cs="宋体"/>
          <w:kern w:val="0"/>
          <w:sz w:val="24"/>
        </w:rPr>
        <w:t>人”，权重2分。根据人事处提供《专题培训（校外培训）人员清单》、网页截图、《专题培训（教学技能培训）人员清单》，实际完成值</w:t>
      </w:r>
      <w:r>
        <w:rPr>
          <w:rFonts w:ascii="宋体" w:hAnsi="宋体" w:eastAsia="宋体" w:cs="宋体"/>
          <w:kern w:val="0"/>
          <w:sz w:val="24"/>
        </w:rPr>
        <w:t>227</w:t>
      </w:r>
      <w:r>
        <w:rPr>
          <w:rFonts w:hint="eastAsia" w:ascii="宋体" w:hAnsi="宋体" w:eastAsia="宋体" w:cs="宋体"/>
          <w:kern w:val="0"/>
          <w:sz w:val="24"/>
        </w:rPr>
        <w:t>人，完成绩效目标，得2分。</w:t>
      </w:r>
      <w:bookmarkEnd w:id="8"/>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14）</w:t>
      </w:r>
      <w:bookmarkStart w:id="9" w:name="_Hlk9079950"/>
      <w:r>
        <w:rPr>
          <w:rFonts w:hint="eastAsia" w:ascii="宋体" w:hAnsi="宋体" w:eastAsia="宋体" w:cs="宋体"/>
          <w:kern w:val="0"/>
          <w:sz w:val="24"/>
        </w:rPr>
        <w:t>“办学条件建设经费”中“三峡大学水电楼电梯更新工程、排水管道网详查项目质量合格率”年度目标值为“</w:t>
      </w:r>
      <w:r>
        <w:rPr>
          <w:rFonts w:ascii="宋体" w:hAnsi="宋体" w:eastAsia="宋体" w:cs="宋体"/>
          <w:kern w:val="0"/>
          <w:sz w:val="24"/>
        </w:rPr>
        <w:t>100%</w:t>
      </w:r>
      <w:r>
        <w:rPr>
          <w:rFonts w:hint="eastAsia" w:ascii="宋体" w:hAnsi="宋体" w:eastAsia="宋体" w:cs="宋体"/>
          <w:kern w:val="0"/>
          <w:sz w:val="24"/>
        </w:rPr>
        <w:t>”，权重3分。根据校建处提供《三峡大学水电楼电梯拆除、采购安装合同》（修合校字〔2018〕64号）、</w:t>
      </w:r>
      <w:bookmarkStart w:id="10" w:name="_Hlk9079362"/>
      <w:r>
        <w:rPr>
          <w:rFonts w:hint="eastAsia" w:ascii="宋体" w:hAnsi="宋体" w:eastAsia="宋体" w:cs="宋体"/>
          <w:kern w:val="0"/>
          <w:sz w:val="24"/>
        </w:rPr>
        <w:t>《特种设备使用登记证》</w:t>
      </w:r>
      <w:bookmarkEnd w:id="10"/>
      <w:r>
        <w:rPr>
          <w:rFonts w:hint="eastAsia" w:ascii="宋体" w:hAnsi="宋体" w:eastAsia="宋体" w:cs="宋体"/>
          <w:kern w:val="0"/>
          <w:sz w:val="24"/>
        </w:rPr>
        <w:t>、《三峡大学排水管网普查项目情况说明》、决定校〔2018〕25号，水电楼电梯更新工程已取得《特种设备使用登记证》，完成绩效目标，得</w:t>
      </w:r>
      <w:r>
        <w:rPr>
          <w:rFonts w:ascii="宋体" w:hAnsi="宋体" w:eastAsia="宋体" w:cs="宋体"/>
          <w:kern w:val="0"/>
          <w:sz w:val="24"/>
        </w:rPr>
        <w:t>1.5</w:t>
      </w:r>
      <w:r>
        <w:rPr>
          <w:rFonts w:hint="eastAsia" w:ascii="宋体" w:hAnsi="宋体" w:eastAsia="宋体" w:cs="宋体"/>
          <w:kern w:val="0"/>
          <w:sz w:val="24"/>
        </w:rPr>
        <w:t>分；排水管道网详查项目尚未完工，未完成绩效目标，得</w:t>
      </w:r>
      <w:r>
        <w:rPr>
          <w:rFonts w:ascii="宋体" w:hAnsi="宋体" w:eastAsia="宋体" w:cs="宋体"/>
          <w:kern w:val="0"/>
          <w:sz w:val="24"/>
        </w:rPr>
        <w:t>0</w:t>
      </w:r>
      <w:r>
        <w:rPr>
          <w:rFonts w:hint="eastAsia" w:ascii="宋体" w:hAnsi="宋体" w:eastAsia="宋体" w:cs="宋体"/>
          <w:kern w:val="0"/>
          <w:sz w:val="24"/>
        </w:rPr>
        <w:t>分。</w:t>
      </w:r>
      <w:bookmarkEnd w:id="9"/>
      <w:r>
        <w:rPr>
          <w:rFonts w:hint="eastAsia" w:ascii="宋体" w:hAnsi="宋体" w:eastAsia="宋体" w:cs="宋体"/>
          <w:kern w:val="0"/>
          <w:sz w:val="24"/>
        </w:rPr>
        <w:t>本指标共计得分1</w:t>
      </w:r>
      <w:r>
        <w:rPr>
          <w:rFonts w:ascii="宋体" w:hAnsi="宋体" w:eastAsia="宋体" w:cs="宋体"/>
          <w:kern w:val="0"/>
          <w:sz w:val="24"/>
        </w:rPr>
        <w:t>.5</w:t>
      </w:r>
      <w:r>
        <w:rPr>
          <w:rFonts w:hint="eastAsia" w:ascii="宋体" w:hAnsi="宋体" w:eastAsia="宋体" w:cs="宋体"/>
          <w:kern w:val="0"/>
          <w:sz w:val="24"/>
        </w:rPr>
        <w:t>分。</w:t>
      </w:r>
    </w:p>
    <w:p>
      <w:pPr>
        <w:tabs>
          <w:tab w:val="left" w:pos="312"/>
        </w:tabs>
        <w:spacing w:line="480" w:lineRule="exact"/>
        <w:ind w:left="4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（2）偏离原因</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color w:val="000000"/>
          <w:kern w:val="0"/>
          <w:sz w:val="24"/>
        </w:rPr>
        <w:t>1）“重点学科建设经费”中</w:t>
      </w:r>
      <w:bookmarkStart w:id="11" w:name="_Hlk9083554"/>
      <w:r>
        <w:rPr>
          <w:rFonts w:hint="eastAsia" w:ascii="宋体" w:hAnsi="宋体" w:eastAsia="宋体" w:cs="宋体"/>
          <w:color w:val="000000"/>
          <w:kern w:val="0"/>
          <w:sz w:val="24"/>
        </w:rPr>
        <w:t>“引进高端人才及引进博士”</w:t>
      </w:r>
      <w:bookmarkEnd w:id="11"/>
      <w:r>
        <w:rPr>
          <w:rFonts w:hint="eastAsia" w:ascii="宋体" w:hAnsi="宋体" w:eastAsia="宋体" w:cs="宋体"/>
          <w:color w:val="000000"/>
          <w:kern w:val="0"/>
          <w:sz w:val="24"/>
        </w:rPr>
        <w:t>年度目标值为“18人”，实际完成值9人，偏离原因：</w:t>
      </w:r>
      <w:bookmarkStart w:id="12" w:name="_Hlk9082382"/>
      <w:r>
        <w:rPr>
          <w:rFonts w:hint="eastAsia" w:ascii="宋体" w:hAnsi="宋体" w:eastAsia="宋体" w:cs="宋体"/>
          <w:color w:val="000000"/>
          <w:kern w:val="0"/>
          <w:sz w:val="24"/>
        </w:rPr>
        <w:t>2018年</w:t>
      </w:r>
      <w:bookmarkStart w:id="13" w:name="_Hlk9079560"/>
      <w:r>
        <w:rPr>
          <w:rFonts w:hint="eastAsia" w:ascii="宋体" w:hAnsi="宋体" w:eastAsia="宋体" w:cs="宋体"/>
          <w:color w:val="000000"/>
          <w:kern w:val="0"/>
          <w:sz w:val="24"/>
        </w:rPr>
        <w:t>奖补资金</w:t>
      </w:r>
      <w:bookmarkEnd w:id="13"/>
      <w:r>
        <w:rPr>
          <w:rFonts w:hint="eastAsia" w:ascii="宋体" w:hAnsi="宋体" w:eastAsia="宋体" w:cs="宋体"/>
          <w:color w:val="000000"/>
          <w:kern w:val="0"/>
          <w:sz w:val="24"/>
        </w:rPr>
        <w:t>到账时间为2</w:t>
      </w:r>
      <w:r>
        <w:rPr>
          <w:rFonts w:ascii="宋体" w:hAnsi="宋体" w:eastAsia="宋体" w:cs="宋体"/>
          <w:color w:val="000000"/>
          <w:kern w:val="0"/>
          <w:sz w:val="24"/>
        </w:rPr>
        <w:t>018</w:t>
      </w:r>
      <w:r>
        <w:rPr>
          <w:rFonts w:hint="eastAsia" w:ascii="宋体" w:hAnsi="宋体" w:eastAsia="宋体" w:cs="宋体"/>
          <w:color w:val="000000"/>
          <w:kern w:val="0"/>
          <w:sz w:val="24"/>
        </w:rPr>
        <w:t>年7月1</w:t>
      </w:r>
      <w:r>
        <w:rPr>
          <w:rFonts w:ascii="宋体" w:hAnsi="宋体" w:eastAsia="宋体" w:cs="宋体"/>
          <w:color w:val="000000"/>
          <w:kern w:val="0"/>
          <w:sz w:val="24"/>
        </w:rPr>
        <w:t>7</w:t>
      </w:r>
      <w:r>
        <w:rPr>
          <w:rFonts w:hint="eastAsia" w:ascii="宋体" w:hAnsi="宋体" w:eastAsia="宋体" w:cs="宋体"/>
          <w:color w:val="000000"/>
          <w:kern w:val="0"/>
          <w:sz w:val="24"/>
        </w:rPr>
        <w:t>日，时间较晚，奖补资金未执行完，预计2019年完成绩效目标。</w:t>
      </w:r>
      <w:bookmarkEnd w:id="12"/>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bookmarkStart w:id="14" w:name="_Hlk9083327"/>
      <w:r>
        <w:rPr>
          <w:rFonts w:hint="eastAsia" w:asciiTheme="minorEastAsia" w:hAnsiTheme="minorEastAsia" w:eastAsiaTheme="minorEastAsia" w:cstheme="minorEastAsia"/>
          <w:bCs/>
          <w:sz w:val="24"/>
        </w:rPr>
        <w:t>“重点学科建设经费”中“发明专利”</w:t>
      </w:r>
      <w:bookmarkEnd w:id="14"/>
      <w:r>
        <w:rPr>
          <w:rFonts w:hint="eastAsia" w:asciiTheme="minorEastAsia" w:hAnsiTheme="minorEastAsia" w:eastAsiaTheme="minorEastAsia" w:cstheme="minorEastAsia"/>
          <w:bCs/>
          <w:sz w:val="24"/>
        </w:rPr>
        <w:t>年度目标值为“10项”，实际完成值20项，偏离原因：2</w:t>
      </w:r>
      <w:r>
        <w:rPr>
          <w:rFonts w:asciiTheme="minorEastAsia" w:hAnsiTheme="minorEastAsia" w:eastAsiaTheme="minorEastAsia" w:cstheme="minorEastAsia"/>
          <w:bCs/>
          <w:sz w:val="24"/>
        </w:rPr>
        <w:t>018</w:t>
      </w:r>
      <w:r>
        <w:rPr>
          <w:rFonts w:hint="eastAsia" w:asciiTheme="minorEastAsia" w:hAnsiTheme="minorEastAsia" w:eastAsiaTheme="minorEastAsia" w:cstheme="minorEastAsia"/>
          <w:bCs/>
          <w:sz w:val="24"/>
        </w:rPr>
        <w:t>年三峡大学入选湖北省“国内一流大学建设高校”，教师潜心学术研究，成果完成情况超过预期。</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3）“师资队伍建设经费”中“选派教师进行实践能力培养人数”年度目标值为“10人”，实际完成值23人，偏离原因：2</w:t>
      </w:r>
      <w:r>
        <w:rPr>
          <w:rFonts w:asciiTheme="minorEastAsia" w:hAnsiTheme="minorEastAsia" w:eastAsiaTheme="minorEastAsia" w:cstheme="minorEastAsia"/>
          <w:sz w:val="24"/>
        </w:rPr>
        <w:t>018</w:t>
      </w:r>
      <w:r>
        <w:rPr>
          <w:rFonts w:hint="eastAsia" w:asciiTheme="minorEastAsia" w:hAnsiTheme="minorEastAsia" w:eastAsiaTheme="minorEastAsia" w:cstheme="minorEastAsia"/>
          <w:sz w:val="24"/>
        </w:rPr>
        <w:t>年学校将“实践能力培养”纳入职称评审基本条件内，同时纳入学院目标考核，从老师至学院都非常重视，导致完成值偏高。</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bookmarkStart w:id="15" w:name="_Hlk9082443"/>
      <w:r>
        <w:rPr>
          <w:rFonts w:hint="eastAsia" w:asciiTheme="minorEastAsia" w:hAnsiTheme="minorEastAsia" w:eastAsiaTheme="minorEastAsia" w:cstheme="minorEastAsia"/>
          <w:sz w:val="24"/>
        </w:rPr>
        <w:t>“办学条件建设经费”中“三峡大学水电楼电梯更新工程、排水管道网详查项目质量合格率”年度目标值为“100%”，未完成绩效目标，偏离原因：三峡大学排水管网普查项目因第一次招标失败，目前尚未完工。</w:t>
      </w:r>
      <w:bookmarkEnd w:id="15"/>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2.效益指标完成情况分析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）完成情况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项目效益指标分值40分，由社会效益指标、可持续效益指标、时效指标3类二级指标组成，共设</w:t>
      </w:r>
      <w:r>
        <w:rPr>
          <w:rFonts w:asciiTheme="minorEastAsia" w:hAnsiTheme="minorEastAsia" w:eastAsiaTheme="minorEastAsia" w:cstheme="minorEastAsia"/>
          <w:sz w:val="24"/>
        </w:rPr>
        <w:t>11</w:t>
      </w:r>
      <w:r>
        <w:rPr>
          <w:rFonts w:hint="eastAsia" w:asciiTheme="minorEastAsia" w:hAnsiTheme="minorEastAsia" w:eastAsiaTheme="minorEastAsia" w:cstheme="minorEastAsia"/>
          <w:sz w:val="24"/>
        </w:rPr>
        <w:t>个三级效益指标，得分</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3</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分。具体情况如下。</w:t>
      </w:r>
    </w:p>
    <w:p>
      <w:pPr>
        <w:spacing w:line="480" w:lineRule="exact"/>
        <w:ind w:firstLine="480" w:firstLineChars="200"/>
        <w:rPr>
          <w:rFonts w:ascii="仿宋_GB2312"/>
          <w:sz w:val="24"/>
        </w:rPr>
      </w:pPr>
      <w:r>
        <w:rPr>
          <w:rFonts w:hint="eastAsia" w:asciiTheme="minorEastAsia" w:hAnsiTheme="minorEastAsia" w:eastAsiaTheme="minorEastAsia" w:cstheme="minorEastAsia"/>
          <w:sz w:val="24"/>
        </w:rPr>
        <w:t>1）“重点学科建设经费”中“专著及教材”年度目标值为“</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本”，权重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分。根据学科办提供《专著及教材清单》，实际完成值</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本，未完成绩效目标，得</w:t>
      </w:r>
      <w:r>
        <w:rPr>
          <w:rFonts w:asciiTheme="minorEastAsia" w:hAnsiTheme="minorEastAsia" w:eastAsiaTheme="minorEastAsia" w:cstheme="minorEastAsia"/>
          <w:sz w:val="24"/>
        </w:rPr>
        <w:t>2.4</w:t>
      </w:r>
      <w:r>
        <w:rPr>
          <w:rFonts w:hint="eastAsia" w:asciiTheme="minorEastAsia" w:hAnsiTheme="minorEastAsia" w:eastAsiaTheme="minorEastAsia" w:cstheme="minorEastAsia"/>
          <w:sz w:val="24"/>
        </w:rPr>
        <w:t>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2）“重点学科建设经费”中“文献资源数量（电子期刊）”年度目标值为“3000种以上”，权重</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分。根据图书馆提供《中文社会科学引文索引CSSCI收录来源期刊目录》、《中文电子期刊（部分）（核心期刊）》、《外文电子期刊（部分）（Elsevier Journal LIST）》，实际完成值</w:t>
      </w:r>
      <w:r>
        <w:rPr>
          <w:rFonts w:asciiTheme="minorEastAsia" w:hAnsiTheme="minorEastAsia" w:eastAsiaTheme="minorEastAsia" w:cstheme="minorEastAsia"/>
          <w:sz w:val="24"/>
        </w:rPr>
        <w:t>3167</w:t>
      </w:r>
      <w:r>
        <w:rPr>
          <w:rFonts w:hint="eastAsia" w:asciiTheme="minorEastAsia" w:hAnsiTheme="minorEastAsia" w:eastAsiaTheme="minorEastAsia" w:cstheme="minorEastAsia"/>
          <w:sz w:val="24"/>
        </w:rPr>
        <w:t>种，完成绩效目标，得</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分。</w:t>
      </w:r>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3）“重点学科建设经费”中“C级以上电子期刊资源数量占文献资源数量（电子期刊）数量的比例”年度目标值为“〉10%”，权重4分。根据图书馆提供《中文社会科学引文索引CSSCI收录来源期刊目录》、《中文电子期刊（部分）（核心期刊）》、《外文电子期刊（部分）（Elsevier Journal LIST）》，实际完成值</w:t>
      </w:r>
      <w:r>
        <w:rPr>
          <w:rFonts w:asciiTheme="minorEastAsia" w:hAnsiTheme="minorEastAsia" w:eastAsiaTheme="minorEastAsia" w:cstheme="minorEastAsia"/>
          <w:sz w:val="24"/>
        </w:rPr>
        <w:t>12%</w:t>
      </w:r>
      <w:r>
        <w:rPr>
          <w:rFonts w:hint="eastAsia" w:asciiTheme="minorEastAsia" w:hAnsiTheme="minorEastAsia" w:eastAsiaTheme="minorEastAsia" w:cstheme="minorEastAsia"/>
          <w:sz w:val="24"/>
        </w:rPr>
        <w:t>，完成绩效目标，得4分。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4）</w:t>
      </w:r>
      <w:r>
        <w:rPr>
          <w:rFonts w:hint="eastAsia" w:asciiTheme="minorEastAsia" w:hAnsiTheme="minorEastAsia" w:eastAsiaTheme="minorEastAsia" w:cstheme="minorEastAsia"/>
          <w:sz w:val="24"/>
        </w:rPr>
        <w:t>“重点学科建设经费”中“图书馆平台服务的范围”年度目标值为“可面向全校师生开放，并为区域内的科研院所、企事业单位提供数据服务”，权重</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分。根据图书馆提供《图书馆平台服务的社会效益》，图书馆信息化服务平台面向全校师生开放，面向科研院所、企业积极开展信息服务，实现查收查引报告网上提交，完成绩效目标，得</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5）</w:t>
      </w:r>
      <w:r>
        <w:rPr>
          <w:rFonts w:hint="eastAsia" w:asciiTheme="minorEastAsia" w:hAnsiTheme="minorEastAsia" w:eastAsiaTheme="minorEastAsia" w:cstheme="minorEastAsia"/>
          <w:sz w:val="24"/>
        </w:rPr>
        <w:t>“师资队伍建设经费”中“骨干教师出国研修回校后能进行双语教学的比例”年度目标值为“90%以上”，权重4分。根据人事处提供《2018年出国研修回校人员双语教学情况》，出国研修人员20人，能进行双语教学人员20人，实际完成值</w:t>
      </w:r>
      <w:r>
        <w:rPr>
          <w:rFonts w:asciiTheme="minorEastAsia" w:hAnsiTheme="minorEastAsia" w:eastAsiaTheme="minorEastAsia" w:cstheme="minorEastAsia"/>
          <w:sz w:val="24"/>
        </w:rPr>
        <w:t>100%</w:t>
      </w:r>
      <w:r>
        <w:rPr>
          <w:rFonts w:hint="eastAsia" w:asciiTheme="minorEastAsia" w:hAnsiTheme="minorEastAsia" w:eastAsiaTheme="minorEastAsia" w:cstheme="minorEastAsia"/>
          <w:sz w:val="24"/>
        </w:rPr>
        <w:t>，完成绩效目标，得4分。</w:t>
      </w:r>
    </w:p>
    <w:p>
      <w:pPr>
        <w:spacing w:line="480" w:lineRule="exact"/>
        <w:ind w:firstLine="480" w:firstLineChars="200"/>
        <w:rPr>
          <w:rFonts w:ascii="宋体" w:hAnsi="宋体" w:eastAsia="宋体" w:cs="宋体"/>
          <w:kern w:val="0"/>
          <w:sz w:val="24"/>
        </w:rPr>
      </w:pPr>
      <w:r>
        <w:rPr>
          <w:rFonts w:ascii="宋体" w:hAnsi="宋体" w:eastAsia="宋体" w:cs="宋体"/>
          <w:kern w:val="0"/>
          <w:sz w:val="24"/>
        </w:rPr>
        <w:t>6</w:t>
      </w:r>
      <w:r>
        <w:rPr>
          <w:rFonts w:hint="eastAsia" w:ascii="宋体" w:hAnsi="宋体" w:eastAsia="宋体" w:cs="宋体"/>
          <w:kern w:val="0"/>
          <w:sz w:val="24"/>
        </w:rPr>
        <w:t>）“</w:t>
      </w:r>
      <w:bookmarkStart w:id="16" w:name="_Hlk9081513"/>
      <w:r>
        <w:rPr>
          <w:rFonts w:hint="eastAsia" w:ascii="宋体" w:hAnsi="宋体" w:eastAsia="宋体" w:cs="宋体"/>
          <w:kern w:val="0"/>
          <w:sz w:val="24"/>
        </w:rPr>
        <w:t>师资队伍建设经费</w:t>
      </w:r>
      <w:bookmarkEnd w:id="16"/>
      <w:r>
        <w:rPr>
          <w:rFonts w:hint="eastAsia" w:ascii="宋体" w:hAnsi="宋体" w:eastAsia="宋体" w:cs="宋体"/>
          <w:kern w:val="0"/>
          <w:sz w:val="24"/>
        </w:rPr>
        <w:t>”中“参加专题培训人员合格率”年度目标值为“95%以上”，权重</w:t>
      </w:r>
      <w:r>
        <w:rPr>
          <w:rFonts w:ascii="宋体" w:hAnsi="宋体" w:eastAsia="宋体" w:cs="宋体"/>
          <w:kern w:val="0"/>
          <w:sz w:val="24"/>
        </w:rPr>
        <w:t>4</w:t>
      </w:r>
      <w:r>
        <w:rPr>
          <w:rFonts w:hint="eastAsia" w:ascii="宋体" w:hAnsi="宋体" w:eastAsia="宋体" w:cs="宋体"/>
          <w:kern w:val="0"/>
          <w:sz w:val="24"/>
        </w:rPr>
        <w:t>分。根据人事处提供《专题培训（校外培训）人员清单》、网页截图、《专题培训（教学技能培训）人员清单》，参加培训人员227人，考核合格226人，合格率为99.56%，完成绩效目标，得</w:t>
      </w:r>
      <w:r>
        <w:rPr>
          <w:rFonts w:ascii="宋体" w:hAnsi="宋体" w:eastAsia="宋体" w:cs="宋体"/>
          <w:kern w:val="0"/>
          <w:sz w:val="24"/>
        </w:rPr>
        <w:t>4</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）“师资队伍建设经费”中“兑现引进人才（含拔尖人才）、培养回校博士安家费”年度目标值为“15-50万元/人”，权重</w:t>
      </w:r>
      <w:r>
        <w:rPr>
          <w:rFonts w:ascii="宋体" w:hAnsi="宋体" w:eastAsia="宋体" w:cs="宋体"/>
          <w:kern w:val="0"/>
          <w:sz w:val="24"/>
        </w:rPr>
        <w:t>4</w:t>
      </w:r>
      <w:r>
        <w:rPr>
          <w:rFonts w:hint="eastAsia" w:ascii="宋体" w:hAnsi="宋体" w:eastAsia="宋体" w:cs="宋体"/>
          <w:kern w:val="0"/>
          <w:sz w:val="24"/>
        </w:rPr>
        <w:t>分。根据项目收支明细账、人事处提供《人才引进工作待遇协议》，2018年发放49人安家费共878.68万元,人均17.93万元，完成绩效目标，得</w:t>
      </w:r>
      <w:r>
        <w:rPr>
          <w:rFonts w:ascii="宋体" w:hAnsi="宋体" w:eastAsia="宋体" w:cs="宋体"/>
          <w:kern w:val="0"/>
          <w:sz w:val="24"/>
        </w:rPr>
        <w:t>4</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ascii="宋体" w:hAnsi="宋体" w:eastAsia="宋体" w:cs="宋体"/>
          <w:kern w:val="0"/>
          <w:sz w:val="24"/>
        </w:rPr>
        <w:t>8</w:t>
      </w:r>
      <w:r>
        <w:rPr>
          <w:rFonts w:hint="eastAsia" w:ascii="宋体" w:hAnsi="宋体" w:eastAsia="宋体" w:cs="宋体"/>
          <w:kern w:val="0"/>
          <w:sz w:val="24"/>
        </w:rPr>
        <w:t>）“师资队伍建设经费”中“高层次人才科研平台配套资助”年度目标值为“10-50万元/人”，权重</w:t>
      </w:r>
      <w:r>
        <w:rPr>
          <w:rFonts w:ascii="宋体" w:hAnsi="宋体" w:eastAsia="宋体" w:cs="宋体"/>
          <w:kern w:val="0"/>
          <w:sz w:val="24"/>
        </w:rPr>
        <w:t>4</w:t>
      </w:r>
      <w:r>
        <w:rPr>
          <w:rFonts w:hint="eastAsia" w:ascii="宋体" w:hAnsi="宋体" w:eastAsia="宋体" w:cs="宋体"/>
          <w:kern w:val="0"/>
          <w:sz w:val="24"/>
        </w:rPr>
        <w:t>分。根据人事处提供三峡大人〔2018〕9、31、52号文，2018年分三次发放楚天学者13人共360.00万元、发放拨尖人才2人共25.00万元，人均25.67万元，完成绩效目标，得</w:t>
      </w:r>
      <w:r>
        <w:rPr>
          <w:rFonts w:ascii="宋体" w:hAnsi="宋体" w:eastAsia="宋体" w:cs="宋体"/>
          <w:kern w:val="0"/>
          <w:sz w:val="24"/>
        </w:rPr>
        <w:t>4</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ascii="宋体" w:hAnsi="宋体" w:eastAsia="宋体" w:cs="宋体"/>
          <w:kern w:val="0"/>
          <w:sz w:val="24"/>
        </w:rPr>
        <w:t>9</w:t>
      </w:r>
      <w:r>
        <w:rPr>
          <w:rFonts w:hint="eastAsia" w:ascii="宋体" w:hAnsi="宋体" w:eastAsia="宋体" w:cs="宋体"/>
          <w:kern w:val="0"/>
          <w:sz w:val="24"/>
        </w:rPr>
        <w:t>）“师资队伍建设经费”中“高层次人才首聘期考核合格率”年度目标值为“95%以上”，权重</w:t>
      </w:r>
      <w:r>
        <w:rPr>
          <w:rFonts w:ascii="宋体" w:hAnsi="宋体" w:eastAsia="宋体" w:cs="宋体"/>
          <w:kern w:val="0"/>
          <w:sz w:val="24"/>
        </w:rPr>
        <w:t>4</w:t>
      </w:r>
      <w:r>
        <w:rPr>
          <w:rFonts w:hint="eastAsia" w:ascii="宋体" w:hAnsi="宋体" w:eastAsia="宋体" w:cs="宋体"/>
          <w:kern w:val="0"/>
          <w:sz w:val="24"/>
        </w:rPr>
        <w:t>分。根据人事处提供《2018年首聘期考核情况》，高层次人才45人，一人延期考核，44人考核合格，合格率为97.78%，完成绩效目标，得</w:t>
      </w:r>
      <w:r>
        <w:rPr>
          <w:rFonts w:ascii="宋体" w:hAnsi="宋体" w:eastAsia="宋体" w:cs="宋体"/>
          <w:kern w:val="0"/>
          <w:sz w:val="24"/>
        </w:rPr>
        <w:t>4</w:t>
      </w:r>
      <w:r>
        <w:rPr>
          <w:rFonts w:hint="eastAsia" w:ascii="宋体" w:hAnsi="宋体" w:eastAsia="宋体" w:cs="宋体"/>
          <w:kern w:val="0"/>
          <w:sz w:val="24"/>
        </w:rPr>
        <w:t>分。</w:t>
      </w:r>
    </w:p>
    <w:p>
      <w:pPr>
        <w:spacing w:line="480" w:lineRule="exact"/>
        <w:ind w:firstLine="480" w:firstLineChars="200"/>
        <w:rPr>
          <w:rFonts w:ascii="宋体" w:hAnsi="宋体" w:eastAsia="宋体" w:cs="宋体"/>
          <w:kern w:val="0"/>
          <w:sz w:val="24"/>
        </w:rPr>
      </w:pPr>
      <w:r>
        <w:rPr>
          <w:rFonts w:ascii="宋体" w:hAnsi="宋体" w:eastAsia="宋体" w:cs="宋体"/>
          <w:kern w:val="0"/>
          <w:sz w:val="24"/>
        </w:rPr>
        <w:t>10</w:t>
      </w:r>
      <w:r>
        <w:rPr>
          <w:rFonts w:hint="eastAsia" w:ascii="宋体" w:hAnsi="宋体" w:eastAsia="宋体" w:cs="宋体"/>
          <w:kern w:val="0"/>
          <w:sz w:val="24"/>
        </w:rPr>
        <w:t>）“办学条件建设经费”中“三峡大学水电楼电梯更新工程、排水管道网详查项目质量按时完工率”年度目标值为“</w:t>
      </w:r>
      <w:r>
        <w:rPr>
          <w:rFonts w:ascii="宋体" w:hAnsi="宋体" w:eastAsia="宋体" w:cs="宋体"/>
          <w:kern w:val="0"/>
          <w:sz w:val="24"/>
        </w:rPr>
        <w:t>100%</w:t>
      </w:r>
      <w:r>
        <w:rPr>
          <w:rFonts w:hint="eastAsia" w:ascii="宋体" w:hAnsi="宋体" w:eastAsia="宋体" w:cs="宋体"/>
          <w:kern w:val="0"/>
          <w:sz w:val="24"/>
        </w:rPr>
        <w:t>”，权重3分。校建处提供的《三峡大学水电楼电梯拆除、采购安装合同》（修合校字〔2018〕64号）、《特种设备使用登记证》、《三峡大学排水管网普查项目情况说明》、决定校〔2018〕25号等，</w:t>
      </w:r>
      <w:bookmarkStart w:id="17" w:name="_Hlk9082498"/>
      <w:r>
        <w:rPr>
          <w:rFonts w:hint="eastAsia" w:ascii="宋体" w:hAnsi="宋体" w:eastAsia="宋体" w:cs="宋体"/>
          <w:kern w:val="0"/>
          <w:sz w:val="24"/>
        </w:rPr>
        <w:t>未提供水电楼电梯更新工程开工令与验收文件</w:t>
      </w:r>
      <w:bookmarkEnd w:id="17"/>
      <w:r>
        <w:rPr>
          <w:rFonts w:hint="eastAsia" w:ascii="宋体" w:hAnsi="宋体" w:eastAsia="宋体" w:cs="宋体"/>
          <w:kern w:val="0"/>
          <w:sz w:val="24"/>
        </w:rPr>
        <w:t>，未完成绩效目标，得</w:t>
      </w:r>
      <w:r>
        <w:rPr>
          <w:rFonts w:ascii="宋体" w:hAnsi="宋体" w:eastAsia="宋体" w:cs="宋体"/>
          <w:kern w:val="0"/>
          <w:sz w:val="24"/>
        </w:rPr>
        <w:t>0</w:t>
      </w:r>
      <w:r>
        <w:rPr>
          <w:rFonts w:hint="eastAsia" w:ascii="宋体" w:hAnsi="宋体" w:eastAsia="宋体" w:cs="宋体"/>
          <w:kern w:val="0"/>
          <w:sz w:val="24"/>
        </w:rPr>
        <w:t>分；排水管道网详查项目尚未完工，未完成绩效目标，得</w:t>
      </w:r>
      <w:r>
        <w:rPr>
          <w:rFonts w:ascii="宋体" w:hAnsi="宋体" w:eastAsia="宋体" w:cs="宋体"/>
          <w:kern w:val="0"/>
          <w:sz w:val="24"/>
        </w:rPr>
        <w:t>0</w:t>
      </w:r>
      <w:r>
        <w:rPr>
          <w:rFonts w:hint="eastAsia" w:ascii="宋体" w:hAnsi="宋体" w:eastAsia="宋体" w:cs="宋体"/>
          <w:kern w:val="0"/>
          <w:sz w:val="24"/>
        </w:rPr>
        <w:t>分。本指标共计得分0分。</w:t>
      </w:r>
    </w:p>
    <w:p>
      <w:pPr>
        <w:spacing w:line="480" w:lineRule="exact"/>
        <w:ind w:firstLine="480" w:firstLineChars="200"/>
        <w:rPr>
          <w:rFonts w:ascii="宋体" w:hAnsi="宋体" w:eastAsia="宋体" w:cs="宋体"/>
          <w:kern w:val="0"/>
          <w:sz w:val="24"/>
        </w:rPr>
      </w:pPr>
      <w:r>
        <w:rPr>
          <w:rFonts w:ascii="宋体" w:hAnsi="宋体" w:eastAsia="宋体" w:cs="宋体"/>
          <w:kern w:val="0"/>
          <w:sz w:val="24"/>
        </w:rPr>
        <w:t>11</w:t>
      </w:r>
      <w:r>
        <w:rPr>
          <w:rFonts w:hint="eastAsia" w:ascii="宋体" w:hAnsi="宋体" w:eastAsia="宋体" w:cs="宋体"/>
          <w:kern w:val="0"/>
          <w:sz w:val="24"/>
        </w:rPr>
        <w:t>）</w:t>
      </w:r>
      <w:bookmarkStart w:id="18" w:name="_Hlk9082523"/>
      <w:r>
        <w:rPr>
          <w:rFonts w:hint="eastAsia" w:ascii="宋体" w:hAnsi="宋体" w:eastAsia="宋体" w:cs="宋体"/>
          <w:kern w:val="0"/>
          <w:sz w:val="24"/>
        </w:rPr>
        <w:t>“办学条件建设经费”中“三峡大学水电楼电梯更新工程投资控制合格率”年度目标值为“</w:t>
      </w:r>
      <w:r>
        <w:rPr>
          <w:rFonts w:ascii="宋体" w:hAnsi="宋体" w:eastAsia="宋体" w:cs="宋体"/>
          <w:kern w:val="0"/>
          <w:sz w:val="24"/>
        </w:rPr>
        <w:t>5%</w:t>
      </w:r>
      <w:r>
        <w:rPr>
          <w:rFonts w:hint="eastAsia" w:ascii="宋体" w:hAnsi="宋体" w:eastAsia="宋体" w:cs="宋体"/>
          <w:kern w:val="0"/>
          <w:sz w:val="24"/>
        </w:rPr>
        <w:t>”，权重3分。校建处提供的《三峡大学水电楼电梯拆除、采购安装合同》（修合校字〔2018〕64号）、《特种设备使用登记证》、《三峡大学排水管网普查项目情况说明》、决定校〔2018〕25号等，水电楼电梯更新工程预算1</w:t>
      </w:r>
      <w:r>
        <w:rPr>
          <w:rFonts w:ascii="宋体" w:hAnsi="宋体" w:eastAsia="宋体" w:cs="宋体"/>
          <w:kern w:val="0"/>
          <w:sz w:val="24"/>
        </w:rPr>
        <w:t>20</w:t>
      </w:r>
      <w:r>
        <w:rPr>
          <w:rFonts w:hint="eastAsia" w:ascii="宋体" w:hAnsi="宋体" w:eastAsia="宋体" w:cs="宋体"/>
          <w:kern w:val="0"/>
          <w:sz w:val="24"/>
        </w:rPr>
        <w:t>.00万，合同金额9</w:t>
      </w:r>
      <w:r>
        <w:rPr>
          <w:rFonts w:ascii="宋体" w:hAnsi="宋体" w:eastAsia="宋体" w:cs="宋体"/>
          <w:kern w:val="0"/>
          <w:sz w:val="24"/>
        </w:rPr>
        <w:t>4.8</w:t>
      </w:r>
      <w:r>
        <w:rPr>
          <w:rFonts w:hint="eastAsia" w:ascii="宋体" w:hAnsi="宋体" w:eastAsia="宋体" w:cs="宋体"/>
          <w:kern w:val="0"/>
          <w:sz w:val="24"/>
        </w:rPr>
        <w:t>0万，未提供项目竣工决算文件，未完成绩效目标，得</w:t>
      </w:r>
      <w:r>
        <w:rPr>
          <w:rFonts w:ascii="宋体" w:hAnsi="宋体" w:eastAsia="宋体" w:cs="宋体"/>
          <w:kern w:val="0"/>
          <w:sz w:val="24"/>
        </w:rPr>
        <w:t>0</w:t>
      </w:r>
      <w:r>
        <w:rPr>
          <w:rFonts w:hint="eastAsia" w:ascii="宋体" w:hAnsi="宋体" w:eastAsia="宋体" w:cs="宋体"/>
          <w:kern w:val="0"/>
          <w:sz w:val="24"/>
        </w:rPr>
        <w:t>分；排水管道网详查项目尚未完工，未完成绩效目标，得</w:t>
      </w:r>
      <w:r>
        <w:rPr>
          <w:rFonts w:ascii="宋体" w:hAnsi="宋体" w:eastAsia="宋体" w:cs="宋体"/>
          <w:kern w:val="0"/>
          <w:sz w:val="24"/>
        </w:rPr>
        <w:t>0</w:t>
      </w:r>
      <w:r>
        <w:rPr>
          <w:rFonts w:hint="eastAsia" w:ascii="宋体" w:hAnsi="宋体" w:eastAsia="宋体" w:cs="宋体"/>
          <w:kern w:val="0"/>
          <w:sz w:val="24"/>
        </w:rPr>
        <w:t>分。本指标共计得分0分。</w:t>
      </w:r>
      <w:bookmarkEnd w:id="18"/>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（2）偏离原因</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bookmarkStart w:id="19" w:name="_Hlk9083507"/>
      <w:r>
        <w:rPr>
          <w:rFonts w:hint="eastAsia" w:asciiTheme="minorEastAsia" w:hAnsiTheme="minorEastAsia" w:eastAsiaTheme="minorEastAsia" w:cstheme="minorEastAsia"/>
          <w:bCs/>
          <w:sz w:val="24"/>
        </w:rPr>
        <w:t>“重点学科建设经费”中“专著及教材”</w:t>
      </w:r>
      <w:bookmarkEnd w:id="19"/>
      <w:r>
        <w:rPr>
          <w:rFonts w:hint="eastAsia" w:asciiTheme="minorEastAsia" w:hAnsiTheme="minorEastAsia" w:eastAsiaTheme="minorEastAsia" w:cstheme="minorEastAsia"/>
          <w:bCs/>
          <w:sz w:val="24"/>
        </w:rPr>
        <w:t>年度目标值为“5本”，实际完成值4本，未完成绩效目标。偏离原因：2018年奖补资金到账时间为2018年7月17日，时间较晚，奖补资金未执行完，预计2019年完成绩效目标。</w:t>
      </w:r>
      <w:bookmarkStart w:id="22" w:name="_GoBack"/>
      <w:bookmarkEnd w:id="22"/>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办学条件建设经费”中“三峡大学水电楼电梯更新工程、排水管道网详查项目质量合格率”年度目标值为“100%”，未完成绩效目标。偏离原因：未提供水电楼电梯更新工程开工令与验收文件；三峡大学排水管网普查项目因第一次招标失败，目前尚未完工。</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办学条件建设经费”中“三峡大学水电楼电梯更新工程投资控制合格率”年度目标值为“5%”，未完成绩效目标。偏离原因：未提供水电楼电梯项目竣工决算文件，无法计算投资控制合格率；排水管道网详查项目尚未完工。</w:t>
      </w:r>
    </w:p>
    <w:p>
      <w:pPr>
        <w:spacing w:line="480" w:lineRule="exact"/>
        <w:ind w:firstLine="480" w:firstLineChars="200"/>
        <w:outlineLvl w:val="0"/>
        <w:rPr>
          <w:rFonts w:asciiTheme="minorEastAsia" w:hAnsiTheme="minorEastAsia" w:eastAsiaTheme="minorEastAsia" w:cstheme="minorEastAsia"/>
          <w:bCs/>
          <w:sz w:val="24"/>
        </w:rPr>
      </w:pPr>
    </w:p>
    <w:p>
      <w:pPr>
        <w:spacing w:line="480" w:lineRule="exact"/>
        <w:ind w:firstLine="602" w:firstLineChars="200"/>
        <w:outlineLvl w:val="0"/>
        <w:rPr>
          <w:rFonts w:asciiTheme="minorEastAsia" w:hAnsiTheme="minorEastAsia" w:eastAsiaTheme="minorEastAsia" w:cstheme="minorEastAsia"/>
          <w:b/>
          <w:bCs/>
          <w:szCs w:val="32"/>
        </w:rPr>
      </w:pPr>
      <w:r>
        <w:rPr>
          <w:rFonts w:hint="eastAsia" w:asciiTheme="minorEastAsia" w:hAnsiTheme="minorEastAsia" w:eastAsiaTheme="minorEastAsia" w:cstheme="minorEastAsia"/>
          <w:b/>
          <w:bCs/>
          <w:szCs w:val="32"/>
        </w:rPr>
        <w:t>四、绩效自评结果拟应用情况</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2018年“高等教育综合奖补”建设专项绩效评价得分</w:t>
      </w:r>
      <w:r>
        <w:rPr>
          <w:rFonts w:asciiTheme="minorEastAsia" w:hAnsiTheme="minorEastAsia" w:eastAsiaTheme="minorEastAsia" w:cstheme="minorEastAsia"/>
          <w:bCs/>
          <w:sz w:val="24"/>
        </w:rPr>
        <w:t>8</w:t>
      </w:r>
      <w:r>
        <w:rPr>
          <w:rFonts w:hint="eastAsia" w:asciiTheme="minorEastAsia" w:hAnsiTheme="minorEastAsia" w:eastAsiaTheme="minorEastAsia" w:cstheme="minorEastAsia"/>
          <w:bCs/>
          <w:sz w:val="24"/>
        </w:rPr>
        <w:t>3.58分（预算执行情况</w:t>
      </w:r>
      <w:r>
        <w:rPr>
          <w:rFonts w:asciiTheme="minorEastAsia" w:hAnsiTheme="minorEastAsia" w:eastAsiaTheme="minorEastAsia" w:cstheme="minorEastAsia"/>
          <w:bCs/>
          <w:sz w:val="24"/>
        </w:rPr>
        <w:t>1</w:t>
      </w:r>
      <w:r>
        <w:rPr>
          <w:rFonts w:hint="eastAsia" w:asciiTheme="minorEastAsia" w:hAnsiTheme="minorEastAsia" w:eastAsiaTheme="minorEastAsia" w:cstheme="minorEastAsia"/>
          <w:bCs/>
          <w:sz w:val="24"/>
        </w:rPr>
        <w:t>3.18分，产出指标3</w:t>
      </w:r>
      <w:r>
        <w:rPr>
          <w:rFonts w:asciiTheme="minorEastAsia" w:hAnsiTheme="minorEastAsia" w:eastAsiaTheme="minorEastAsia" w:cstheme="minorEastAsia"/>
          <w:bCs/>
          <w:sz w:val="24"/>
        </w:rPr>
        <w:t>7</w:t>
      </w:r>
      <w:r>
        <w:rPr>
          <w:rFonts w:hint="eastAsia" w:asciiTheme="minorEastAsia" w:hAnsiTheme="minorEastAsia" w:eastAsiaTheme="minorEastAsia" w:cstheme="minorEastAsia"/>
          <w:bCs/>
          <w:sz w:val="24"/>
        </w:rPr>
        <w:t>分，效益指标</w:t>
      </w:r>
      <w:r>
        <w:rPr>
          <w:rFonts w:asciiTheme="minorEastAsia" w:hAnsiTheme="minorEastAsia" w:eastAsiaTheme="minorEastAsia" w:cstheme="minorEastAsia"/>
          <w:bCs/>
          <w:sz w:val="24"/>
        </w:rPr>
        <w:t>3</w:t>
      </w:r>
      <w:r>
        <w:rPr>
          <w:rFonts w:hint="eastAsia" w:asciiTheme="minorEastAsia" w:hAnsiTheme="minorEastAsia" w:eastAsiaTheme="minorEastAsia" w:cstheme="minorEastAsia"/>
          <w:bCs/>
          <w:sz w:val="24"/>
        </w:rPr>
        <w:t>3</w:t>
      </w:r>
      <w:r>
        <w:rPr>
          <w:rFonts w:asciiTheme="minorEastAsia" w:hAnsiTheme="minorEastAsia" w:eastAsiaTheme="minorEastAsia" w:cstheme="minorEastAsia"/>
          <w:bCs/>
          <w:sz w:val="24"/>
        </w:rPr>
        <w:t>.4</w:t>
      </w:r>
      <w:r>
        <w:rPr>
          <w:rFonts w:hint="eastAsia" w:asciiTheme="minorEastAsia" w:hAnsiTheme="minorEastAsia" w:eastAsiaTheme="minorEastAsia" w:cstheme="minorEastAsia"/>
          <w:bCs/>
          <w:sz w:val="24"/>
        </w:rPr>
        <w:t>分）</w:t>
      </w:r>
      <w:r>
        <w:rPr>
          <w:rFonts w:hint="eastAsia" w:ascii="宋体" w:hAnsi="宋体" w:eastAsia="宋体" w:cs="宋体"/>
          <w:bCs/>
          <w:sz w:val="24"/>
        </w:rPr>
        <w:t>。</w:t>
      </w:r>
      <w:r>
        <w:rPr>
          <w:rFonts w:hint="eastAsia" w:asciiTheme="minorEastAsia" w:hAnsiTheme="minorEastAsia" w:eastAsiaTheme="minorEastAsia" w:cstheme="minorEastAsia"/>
          <w:bCs/>
          <w:sz w:val="24"/>
        </w:rPr>
        <w:t>三峡大学2018年“高等教育综合奖补”建设专项绩效目标明确、合理，通过项目的实施，对三峡大学一流学科建设、提升学科综合实力和排名与三峡大学“双一流”建设起到了积极作用，基本实现了预期目标。</w:t>
      </w:r>
    </w:p>
    <w:p>
      <w:pPr>
        <w:spacing w:line="480" w:lineRule="exact"/>
        <w:ind w:left="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（一）下一步</w:t>
      </w:r>
      <w:r>
        <w:rPr>
          <w:rFonts w:asciiTheme="minorEastAsia" w:hAnsiTheme="minorEastAsia" w:eastAsiaTheme="minorEastAsia" w:cstheme="minorEastAsia"/>
          <w:b/>
          <w:sz w:val="24"/>
        </w:rPr>
        <w:t>改进措施</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针对本次评价指标偏离的原因分析，各归口部门应高度重视各项目的指标建设以及项目落实。</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1.项目整改</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（1）各项目归口管理部门应指定专门人员负责绩效评价管理工作，明确职责，</w:t>
      </w:r>
      <w:bookmarkStart w:id="20" w:name="_Hlk9083762"/>
      <w:r>
        <w:rPr>
          <w:rFonts w:hint="eastAsia" w:asciiTheme="minorEastAsia" w:hAnsiTheme="minorEastAsia" w:eastAsiaTheme="minorEastAsia" w:cstheme="minorEastAsia"/>
          <w:bCs/>
          <w:sz w:val="24"/>
        </w:rPr>
        <w:t>尤其应避免无法提供资料情况出现。</w:t>
      </w:r>
      <w:bookmarkEnd w:id="20"/>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（2）加强绩效工作培训。组织项目负责人、管理人员参加绩效工作培训，学习绩效工作的开展过程、绩效目标的设置等内容。</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（3）加强宣传工作。加强对相关制度和政策的宣传力度，提高项目的参与度与工作积极性。</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（4）建设更加合理的绩效考核管理体系。设置奖惩制度，对于项目完成度高，绩效评价为优秀的项目，予以一定的奖励等方式，提高相关人员的工作积极性；对分工不清、资料缺失的予以一定的处罚。</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2.绩效目标调整完善</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（1）各项目归口部门制定指标要合理设置产出指标与效益指标比例。各归口部门需结合项目实际，合理设置一定数量的项目经济效益、社会效益、生态效益、可持续影响等效益指标。</w:t>
      </w:r>
      <w:r>
        <w:rPr>
          <w:rFonts w:hint="eastAsia" w:asciiTheme="minorEastAsia" w:hAnsiTheme="minorEastAsia" w:eastAsiaTheme="minorEastAsia" w:cstheme="minorEastAsia"/>
          <w:sz w:val="24"/>
        </w:rPr>
        <w:t>尽量避免评定标准中某项指标比重过大而产生投机、保持评定标准相对稳定，以降低这些因素对受益学生在项目总体效果的期望值上的影响程度。</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的指标设计应充分考虑实际情况。根据项目实际情况，设置的指标存在较强不确定性，难以设置确定目标值时，可设置合理的范围指标。例如：“重点学科建设经费”中“发明专利”数量的相关不确定性较大指标，可以设置范围指标。</w:t>
      </w:r>
    </w:p>
    <w:p>
      <w:pPr>
        <w:spacing w:line="480" w:lineRule="exact"/>
        <w:ind w:firstLine="480" w:firstLineChars="20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sz w:val="24"/>
        </w:rPr>
        <w:t>（3）项目设立指标需结合资金到账时间考虑。例如：“重点学科建设经费”中“专著及教材”指标、“引进高端人才及引进博士”指标均因</w:t>
      </w:r>
      <w:bookmarkStart w:id="21" w:name="_Hlk9083605"/>
      <w:r>
        <w:rPr>
          <w:rFonts w:hint="eastAsia" w:asciiTheme="minorEastAsia" w:hAnsiTheme="minorEastAsia" w:eastAsiaTheme="minorEastAsia" w:cstheme="minorEastAsia"/>
          <w:sz w:val="24"/>
        </w:rPr>
        <w:t>资金到账时间</w:t>
      </w:r>
      <w:bookmarkEnd w:id="21"/>
      <w:r>
        <w:rPr>
          <w:rFonts w:hint="eastAsia" w:asciiTheme="minorEastAsia" w:hAnsiTheme="minorEastAsia" w:eastAsiaTheme="minorEastAsia" w:cstheme="minorEastAsia"/>
          <w:sz w:val="24"/>
        </w:rPr>
        <w:t>原因未完成年度目标。</w:t>
      </w:r>
    </w:p>
    <w:p>
      <w:pPr>
        <w:spacing w:line="480" w:lineRule="exact"/>
        <w:ind w:left="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（二）拟与预算安排相结合情况</w:t>
      </w:r>
    </w:p>
    <w:p>
      <w:pPr>
        <w:spacing w:line="480" w:lineRule="exact"/>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Cs/>
          <w:sz w:val="24"/>
        </w:rPr>
        <w:t>各归口部门应根据绩效评价自评结果，对于执行度不高的项目，应详细分析原因，尽快拿出整改方案，以提高项目执行效率。</w:t>
      </w:r>
      <w:r>
        <w:rPr>
          <w:rFonts w:hint="eastAsia" w:asciiTheme="minorEastAsia" w:hAnsiTheme="minorEastAsia" w:eastAsiaTheme="minorEastAsia" w:cstheme="minorEastAsia"/>
          <w:color w:val="000000" w:themeColor="text1"/>
          <w:sz w:val="24"/>
        </w:rPr>
        <w:t>依托预算管理信息系统及时分析预算项目实施进程、资金拨付进度与绩效目标实现情况，及时采取措施纠正预算项目预期目标及调整预算项目资金。</w:t>
      </w:r>
    </w:p>
    <w:p>
      <w:pPr>
        <w:spacing w:line="48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（三）绩效评价结果拟应用和公开情况</w:t>
      </w:r>
    </w:p>
    <w:p>
      <w:pPr>
        <w:spacing w:line="480" w:lineRule="exact"/>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本次绩效评价结果将随同2018年部门决算公开在湖北省人民政府网站和三峡大学校园网同步公开，接受社会各界的广泛监督。</w:t>
      </w: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60" w:lineRule="exact"/>
        <w:ind w:firstLine="480" w:firstLineChars="200"/>
        <w:rPr>
          <w:rFonts w:asciiTheme="minorEastAsia" w:hAnsiTheme="minorEastAsia" w:eastAsiaTheme="minorEastAsia" w:cstheme="minorEastAsia"/>
          <w:bCs/>
          <w:sz w:val="24"/>
        </w:rPr>
      </w:pPr>
    </w:p>
    <w:p>
      <w:pPr>
        <w:spacing w:line="480" w:lineRule="exact"/>
        <w:ind w:left="600" w:left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（此页无正文）</w:t>
      </w:r>
    </w:p>
    <w:p>
      <w:pPr>
        <w:spacing w:line="480" w:lineRule="exact"/>
        <w:ind w:left="600" w:leftChars="200"/>
        <w:rPr>
          <w:rFonts w:ascii="黑体" w:hAnsi="黑体" w:eastAsia="黑体" w:cs="黑体"/>
          <w:bCs/>
          <w:szCs w:val="32"/>
        </w:rPr>
      </w:pPr>
    </w:p>
    <w:p>
      <w:pPr>
        <w:spacing w:line="460" w:lineRule="exact"/>
        <w:rPr>
          <w:rFonts w:asciiTheme="minorEastAsia" w:hAnsiTheme="minorEastAsia" w:eastAsiaTheme="minorEastAsia" w:cstheme="minorEastAsia"/>
          <w:bCs/>
          <w:sz w:val="24"/>
        </w:rPr>
      </w:pPr>
    </w:p>
    <w:p>
      <w:pPr>
        <w:spacing w:line="460" w:lineRule="exact"/>
        <w:ind w:firstLine="480" w:firstLineChars="200"/>
        <w:rPr>
          <w:rFonts w:asciiTheme="minorEastAsia" w:hAnsiTheme="minorEastAsia" w:eastAsiaTheme="minorEastAsia" w:cstheme="minorEastAsia"/>
          <w:bCs/>
          <w:sz w:val="24"/>
          <w:highlight w:val="yellow"/>
        </w:rPr>
      </w:pPr>
      <w:r>
        <w:rPr>
          <w:rFonts w:asciiTheme="minorEastAsia" w:hAnsiTheme="minorEastAsia" w:eastAsiaTheme="minorEastAsia" w:cstheme="minorEastAsia"/>
          <w:bCs/>
          <w:sz w:val="24"/>
        </w:rPr>
        <w:drawing>
          <wp:anchor distT="0" distB="0" distL="114300" distR="114300" simplePos="0" relativeHeight="251658240" behindDoc="0" locked="0" layoutInCell="1" allowOverlap="1">
            <wp:simplePos x="0" y="0"/>
            <wp:positionH relativeFrom="column">
              <wp:posOffset>4546600</wp:posOffset>
            </wp:positionH>
            <wp:positionV relativeFrom="paragraph">
              <wp:posOffset>107950</wp:posOffset>
            </wp:positionV>
            <wp:extent cx="990600" cy="819150"/>
            <wp:effectExtent l="19050" t="0" r="0" b="0"/>
            <wp:wrapNone/>
            <wp:docPr id="4"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IMG_256"/>
                    <pic:cNvPicPr>
                      <a:picLocks noChangeAspect="1" noChangeArrowheads="1"/>
                    </pic:cNvPicPr>
                  </pic:nvPicPr>
                  <pic:blipFill>
                    <a:blip r:embed="rId6" cstate="print"/>
                    <a:srcRect/>
                    <a:stretch>
                      <a:fillRect/>
                    </a:stretch>
                  </pic:blipFill>
                  <pic:spPr>
                    <a:xfrm>
                      <a:off x="0" y="0"/>
                      <a:ext cx="990600" cy="819150"/>
                    </a:xfrm>
                    <a:prstGeom prst="rect">
                      <a:avLst/>
                    </a:prstGeom>
                    <a:noFill/>
                    <a:ln w="9525">
                      <a:noFill/>
                      <a:miter lim="800000"/>
                      <a:headEnd/>
                      <a:tailEnd/>
                    </a:ln>
                  </pic:spPr>
                </pic:pic>
              </a:graphicData>
            </a:graphic>
          </wp:anchor>
        </w:drawing>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湖北众证会计师事务有限责任公司           中国注册会计师</w:t>
      </w:r>
    </w:p>
    <w:p>
      <w:pPr>
        <w:spacing w:line="460" w:lineRule="exact"/>
        <w:ind w:firstLine="480" w:firstLineChars="200"/>
        <w:rPr>
          <w:rFonts w:asciiTheme="minorEastAsia" w:hAnsiTheme="minorEastAsia" w:eastAsiaTheme="minorEastAsia" w:cstheme="minorEastAsia"/>
          <w:bCs/>
          <w:sz w:val="24"/>
        </w:rPr>
      </w:pPr>
    </w:p>
    <w:p>
      <w:pPr>
        <w:spacing w:line="460" w:lineRule="exact"/>
        <w:ind w:firstLine="480" w:firstLineChars="200"/>
        <w:rPr>
          <w:rFonts w:asciiTheme="minorEastAsia" w:hAnsiTheme="minorEastAsia" w:eastAsiaTheme="minorEastAsia" w:cstheme="minorEastAsia"/>
          <w:bCs/>
          <w:sz w:val="24"/>
        </w:rPr>
      </w:pPr>
    </w:p>
    <w:p>
      <w:pPr>
        <w:spacing w:line="460" w:lineRule="exact"/>
        <w:ind w:firstLine="1200" w:firstLineChars="5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drawing>
          <wp:anchor distT="0" distB="0" distL="114300" distR="114300" simplePos="0" relativeHeight="251659264" behindDoc="0" locked="0" layoutInCell="1" allowOverlap="1">
            <wp:simplePos x="0" y="0"/>
            <wp:positionH relativeFrom="column">
              <wp:posOffset>4622800</wp:posOffset>
            </wp:positionH>
            <wp:positionV relativeFrom="paragraph">
              <wp:posOffset>19050</wp:posOffset>
            </wp:positionV>
            <wp:extent cx="838200" cy="368300"/>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srcRect/>
                    <a:stretch>
                      <a:fillRect/>
                    </a:stretch>
                  </pic:blipFill>
                  <pic:spPr>
                    <a:xfrm>
                      <a:off x="0" y="0"/>
                      <a:ext cx="838200" cy="36830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bCs/>
          <w:sz w:val="24"/>
        </w:rPr>
        <w:t>中国    宜昌市                     中国注册会计师</w:t>
      </w:r>
    </w:p>
    <w:p>
      <w:pPr>
        <w:spacing w:line="460" w:lineRule="exact"/>
        <w:rPr>
          <w:rFonts w:asciiTheme="minorEastAsia" w:hAnsiTheme="minorEastAsia" w:eastAsiaTheme="minorEastAsia" w:cstheme="minorEastAsia"/>
          <w:bCs/>
          <w:sz w:val="24"/>
        </w:rPr>
      </w:pPr>
    </w:p>
    <w:p>
      <w:pPr>
        <w:spacing w:line="460" w:lineRule="exact"/>
        <w:ind w:firstLine="5280" w:firstLineChars="2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二○一九年五月二十七日</w:t>
      </w:r>
    </w:p>
    <w:p>
      <w:pPr>
        <w:widowControl/>
        <w:jc w:val="center"/>
        <w:rPr>
          <w:rFonts w:ascii="方正小标宋_GBK" w:hAnsi="黑体" w:eastAsia="方正小标宋_GBK" w:cs="宋体"/>
          <w:kern w:val="0"/>
          <w:sz w:val="40"/>
          <w:szCs w:val="36"/>
        </w:rPr>
        <w:sectPr>
          <w:pgSz w:w="11906" w:h="16838"/>
          <w:pgMar w:top="1440" w:right="1800" w:bottom="1440" w:left="1800" w:header="851" w:footer="992" w:gutter="0"/>
          <w:pgNumType w:fmt="numberInDash" w:start="1"/>
          <w:cols w:space="425" w:num="1"/>
          <w:docGrid w:type="lines" w:linePitch="312" w:charSpace="0"/>
        </w:sectPr>
      </w:pPr>
    </w:p>
    <w:p>
      <w:pPr>
        <w:widowControl/>
        <w:jc w:val="center"/>
        <w:rPr>
          <w:rFonts w:ascii="方正小标宋_GBK" w:hAnsi="黑体" w:eastAsia="方正小标宋_GBK" w:cs="宋体"/>
          <w:kern w:val="0"/>
          <w:sz w:val="40"/>
          <w:szCs w:val="36"/>
        </w:rPr>
      </w:pPr>
      <w:r>
        <w:rPr>
          <w:rFonts w:hint="eastAsia" w:ascii="方正小标宋_GBK" w:hAnsi="黑体" w:eastAsia="方正小标宋_GBK" w:cs="宋体"/>
          <w:kern w:val="0"/>
          <w:sz w:val="40"/>
          <w:szCs w:val="36"/>
        </w:rPr>
        <w:t>2018年“高等教育综合奖补”专项绩效评价表</w:t>
      </w:r>
    </w:p>
    <w:p>
      <w:pPr>
        <w:widowControl/>
        <w:jc w:val="left"/>
        <w:rPr>
          <w:rFonts w:ascii="楷体_GB2312" w:hAnsi="黑体" w:eastAsia="楷体_GB2312" w:cs="宋体"/>
          <w:kern w:val="0"/>
          <w:sz w:val="48"/>
          <w:szCs w:val="36"/>
        </w:rPr>
      </w:pPr>
      <w:r>
        <w:rPr>
          <w:rFonts w:hint="eastAsia" w:ascii="楷体_GB2312" w:hAnsi="宋体" w:eastAsia="楷体_GB2312" w:cs="宋体"/>
          <w:kern w:val="0"/>
          <w:sz w:val="24"/>
          <w:szCs w:val="20"/>
        </w:rPr>
        <w:t>填报日期：</w:t>
      </w:r>
      <w:r>
        <w:rPr>
          <w:rFonts w:ascii="楷体_GB2312" w:hAnsi="宋体" w:eastAsia="楷体_GB2312" w:cs="宋体"/>
          <w:kern w:val="0"/>
          <w:sz w:val="24"/>
          <w:szCs w:val="20"/>
        </w:rPr>
        <w:tab/>
      </w:r>
      <w:r>
        <w:rPr>
          <w:rFonts w:hint="eastAsia" w:ascii="楷体_GB2312" w:hAnsi="宋体" w:eastAsia="楷体_GB2312" w:cs="宋体"/>
          <w:kern w:val="0"/>
          <w:sz w:val="24"/>
          <w:szCs w:val="20"/>
        </w:rPr>
        <w:t>2019年5月1</w:t>
      </w:r>
      <w:r>
        <w:rPr>
          <w:rFonts w:ascii="楷体_GB2312" w:hAnsi="宋体" w:eastAsia="楷体_GB2312" w:cs="宋体"/>
          <w:kern w:val="0"/>
          <w:sz w:val="24"/>
          <w:szCs w:val="20"/>
        </w:rPr>
        <w:t>8</w:t>
      </w:r>
      <w:r>
        <w:rPr>
          <w:rFonts w:hint="eastAsia" w:ascii="楷体_GB2312" w:hAnsi="宋体" w:eastAsia="楷体_GB2312" w:cs="宋体"/>
          <w:kern w:val="0"/>
          <w:sz w:val="24"/>
          <w:szCs w:val="20"/>
        </w:rPr>
        <w:t>日</w:t>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hint="eastAsia" w:ascii="楷体_GB2312" w:hAnsi="宋体" w:eastAsia="楷体_GB2312" w:cs="宋体"/>
          <w:kern w:val="0"/>
          <w:sz w:val="24"/>
          <w:szCs w:val="20"/>
        </w:rPr>
        <w:t>总分：83.58分</w:t>
      </w:r>
    </w:p>
    <w:tbl>
      <w:tblPr>
        <w:tblStyle w:val="10"/>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34"/>
        <w:gridCol w:w="1464"/>
        <w:gridCol w:w="981"/>
        <w:gridCol w:w="206"/>
        <w:gridCol w:w="278"/>
        <w:gridCol w:w="1299"/>
        <w:gridCol w:w="166"/>
        <w:gridCol w:w="570"/>
        <w:gridCol w:w="65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项目名称</w:t>
            </w:r>
          </w:p>
        </w:tc>
        <w:tc>
          <w:tcPr>
            <w:tcW w:w="7633" w:type="dxa"/>
            <w:gridSpan w:val="10"/>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2018年度“高等教育综合奖补”专项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主管部门</w:t>
            </w:r>
          </w:p>
        </w:tc>
        <w:tc>
          <w:tcPr>
            <w:tcW w:w="3579" w:type="dxa"/>
            <w:gridSpan w:val="3"/>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湖北省教育厅</w:t>
            </w:r>
          </w:p>
        </w:tc>
        <w:tc>
          <w:tcPr>
            <w:tcW w:w="2519" w:type="dxa"/>
            <w:gridSpan w:val="5"/>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项目实施单位</w:t>
            </w:r>
          </w:p>
        </w:tc>
        <w:tc>
          <w:tcPr>
            <w:tcW w:w="1535" w:type="dxa"/>
            <w:gridSpan w:val="2"/>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三峡大学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项目类别</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1、部门预算项目   ☑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项目属性</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 xml:space="preserve">1、持续性项目   </w:t>
            </w:r>
            <w:r>
              <w:rPr>
                <w:rFonts w:ascii="仿宋_GB2312" w:hAnsi="宋体" w:cs="宋体"/>
                <w:kern w:val="0"/>
                <w:sz w:val="21"/>
                <w:szCs w:val="21"/>
              </w:rPr>
              <w:t xml:space="preserve">  </w:t>
            </w:r>
            <w:r>
              <w:rPr>
                <w:rFonts w:hint="eastAsia" w:ascii="仿宋_GB2312" w:hAnsi="宋体" w:cs="宋体"/>
                <w:kern w:val="0"/>
                <w:sz w:val="21"/>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项目类型</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 xml:space="preserve">1、常年性项目   </w:t>
            </w:r>
            <w:r>
              <w:rPr>
                <w:rFonts w:ascii="仿宋_GB2312" w:hAnsi="宋体" w:cs="宋体"/>
                <w:kern w:val="0"/>
                <w:sz w:val="21"/>
                <w:szCs w:val="21"/>
              </w:rPr>
              <w:t xml:space="preserve">  </w:t>
            </w:r>
            <w:r>
              <w:rPr>
                <w:rFonts w:hint="eastAsia" w:ascii="仿宋_GB2312" w:hAnsi="宋体" w:cs="宋体"/>
                <w:kern w:val="0"/>
                <w:sz w:val="21"/>
                <w:szCs w:val="21"/>
              </w:rPr>
              <w:t>□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预算执行情况（万元）</w:t>
            </w:r>
            <w:r>
              <w:rPr>
                <w:rFonts w:hint="eastAsia" w:ascii="仿宋_GB2312" w:hAnsi="宋体" w:cs="宋体"/>
                <w:kern w:val="0"/>
                <w:sz w:val="21"/>
                <w:szCs w:val="21"/>
              </w:rPr>
              <w:br w:type="textWrapping"/>
            </w:r>
            <w:r>
              <w:rPr>
                <w:rFonts w:hint="eastAsia" w:ascii="仿宋_GB2312" w:hAnsi="宋体" w:cs="宋体"/>
                <w:kern w:val="0"/>
                <w:sz w:val="21"/>
                <w:szCs w:val="21"/>
              </w:rPr>
              <w:t>（20分）</w:t>
            </w:r>
          </w:p>
        </w:tc>
        <w:tc>
          <w:tcPr>
            <w:tcW w:w="1134" w:type="dxa"/>
            <w:vAlign w:val="center"/>
          </w:tcPr>
          <w:p>
            <w:pPr>
              <w:widowControl/>
              <w:adjustRightInd w:val="0"/>
              <w:snapToGrid w:val="0"/>
              <w:jc w:val="center"/>
              <w:rPr>
                <w:rFonts w:ascii="仿宋_GB2312" w:hAnsi="宋体" w:cs="宋体"/>
                <w:kern w:val="0"/>
                <w:sz w:val="21"/>
                <w:szCs w:val="21"/>
              </w:rPr>
            </w:pPr>
          </w:p>
        </w:tc>
        <w:tc>
          <w:tcPr>
            <w:tcW w:w="1464"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预算数（A)</w:t>
            </w:r>
          </w:p>
        </w:tc>
        <w:tc>
          <w:tcPr>
            <w:tcW w:w="1465" w:type="dxa"/>
            <w:gridSpan w:val="3"/>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执行数(B)</w:t>
            </w:r>
          </w:p>
        </w:tc>
        <w:tc>
          <w:tcPr>
            <w:tcW w:w="1465" w:type="dxa"/>
            <w:gridSpan w:val="2"/>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执行率(B/A)</w:t>
            </w:r>
          </w:p>
        </w:tc>
        <w:tc>
          <w:tcPr>
            <w:tcW w:w="2105" w:type="dxa"/>
            <w:gridSpan w:val="3"/>
            <w:vAlign w:val="center"/>
          </w:tcPr>
          <w:p>
            <w:pPr>
              <w:widowControl/>
              <w:adjustRightInd w:val="0"/>
              <w:snapToGrid w:val="0"/>
              <w:rPr>
                <w:rFonts w:ascii="仿宋_GB2312" w:hAnsi="宋体" w:cs="宋体"/>
                <w:kern w:val="0"/>
                <w:sz w:val="21"/>
                <w:szCs w:val="21"/>
              </w:rPr>
            </w:pPr>
            <w:r>
              <w:rPr>
                <w:rFonts w:hint="eastAsia" w:ascii="仿宋_GB2312" w:hAnsi="宋体" w:cs="宋体"/>
                <w:kern w:val="0"/>
                <w:sz w:val="21"/>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left"/>
              <w:rPr>
                <w:rFonts w:ascii="仿宋_GB2312" w:hAnsi="宋体" w:cs="宋体"/>
                <w:kern w:val="0"/>
                <w:sz w:val="21"/>
                <w:szCs w:val="21"/>
              </w:rPr>
            </w:pPr>
          </w:p>
        </w:tc>
        <w:tc>
          <w:tcPr>
            <w:tcW w:w="1134" w:type="dxa"/>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年度财政资金总额</w:t>
            </w:r>
          </w:p>
        </w:tc>
        <w:tc>
          <w:tcPr>
            <w:tcW w:w="1464" w:type="dxa"/>
            <w:vAlign w:val="center"/>
          </w:tcPr>
          <w:p>
            <w:pPr>
              <w:adjustRightInd w:val="0"/>
              <w:snapToGrid w:val="0"/>
              <w:jc w:val="center"/>
              <w:rPr>
                <w:rFonts w:ascii="宋体" w:hAnsi="宋体" w:eastAsia="宋体" w:cs="宋体"/>
                <w:sz w:val="20"/>
                <w:szCs w:val="20"/>
              </w:rPr>
            </w:pPr>
            <w:r>
              <w:rPr>
                <w:sz w:val="20"/>
                <w:szCs w:val="20"/>
              </w:rPr>
              <w:t>4,534.00</w:t>
            </w:r>
          </w:p>
        </w:tc>
        <w:tc>
          <w:tcPr>
            <w:tcW w:w="1465" w:type="dxa"/>
            <w:gridSpan w:val="3"/>
            <w:vAlign w:val="center"/>
          </w:tcPr>
          <w:p>
            <w:pPr>
              <w:adjustRightInd w:val="0"/>
              <w:snapToGrid w:val="0"/>
              <w:jc w:val="center"/>
              <w:rPr>
                <w:rFonts w:ascii="宋体" w:hAnsi="宋体" w:eastAsia="宋体" w:cs="宋体"/>
                <w:sz w:val="20"/>
                <w:szCs w:val="20"/>
              </w:rPr>
            </w:pPr>
            <w:r>
              <w:rPr>
                <w:sz w:val="20"/>
                <w:szCs w:val="20"/>
              </w:rPr>
              <w:t>2,9</w:t>
            </w:r>
            <w:r>
              <w:rPr>
                <w:rFonts w:hint="eastAsia"/>
                <w:sz w:val="20"/>
                <w:szCs w:val="20"/>
              </w:rPr>
              <w:t>86</w:t>
            </w:r>
            <w:r>
              <w:rPr>
                <w:sz w:val="20"/>
                <w:szCs w:val="20"/>
              </w:rPr>
              <w:t>.</w:t>
            </w:r>
            <w:r>
              <w:rPr>
                <w:rFonts w:hint="eastAsia"/>
                <w:sz w:val="20"/>
                <w:szCs w:val="20"/>
              </w:rPr>
              <w:t>9</w:t>
            </w:r>
            <w:r>
              <w:rPr>
                <w:sz w:val="20"/>
                <w:szCs w:val="20"/>
              </w:rPr>
              <w:t>2</w:t>
            </w:r>
          </w:p>
        </w:tc>
        <w:tc>
          <w:tcPr>
            <w:tcW w:w="1465" w:type="dxa"/>
            <w:gridSpan w:val="2"/>
            <w:vAlign w:val="center"/>
          </w:tcPr>
          <w:p>
            <w:pPr>
              <w:adjustRightInd w:val="0"/>
              <w:snapToGrid w:val="0"/>
              <w:jc w:val="center"/>
              <w:rPr>
                <w:rFonts w:ascii="宋体" w:hAnsi="宋体" w:eastAsia="宋体" w:cs="宋体"/>
                <w:sz w:val="20"/>
                <w:szCs w:val="20"/>
              </w:rPr>
            </w:pPr>
            <w:r>
              <w:rPr>
                <w:sz w:val="20"/>
                <w:szCs w:val="20"/>
              </w:rPr>
              <w:t>6</w:t>
            </w:r>
            <w:r>
              <w:rPr>
                <w:rFonts w:hint="eastAsia"/>
                <w:sz w:val="20"/>
                <w:szCs w:val="20"/>
              </w:rPr>
              <w:t>5</w:t>
            </w:r>
            <w:r>
              <w:rPr>
                <w:sz w:val="20"/>
                <w:szCs w:val="20"/>
              </w:rPr>
              <w:t>.8</w:t>
            </w:r>
            <w:r>
              <w:rPr>
                <w:rFonts w:hint="eastAsia"/>
                <w:sz w:val="20"/>
                <w:szCs w:val="20"/>
              </w:rPr>
              <w:t>8%</w:t>
            </w:r>
          </w:p>
        </w:tc>
        <w:tc>
          <w:tcPr>
            <w:tcW w:w="2105" w:type="dxa"/>
            <w:gridSpan w:val="3"/>
            <w:vAlign w:val="center"/>
          </w:tcPr>
          <w:p>
            <w:pPr>
              <w:adjustRightInd w:val="0"/>
              <w:snapToGrid w:val="0"/>
              <w:jc w:val="center"/>
              <w:rPr>
                <w:rFonts w:ascii="宋体" w:hAnsi="宋体" w:eastAsia="宋体" w:cs="宋体"/>
                <w:sz w:val="20"/>
                <w:szCs w:val="20"/>
              </w:rPr>
            </w:pPr>
            <w:r>
              <w:rPr>
                <w:rFonts w:hint="eastAsia"/>
                <w:sz w:val="20"/>
                <w:szCs w:val="20"/>
              </w:rPr>
              <w:t xml:space="preserve">13.18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651"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577"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产出指标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时效指标</w:t>
            </w:r>
          </w:p>
        </w:tc>
        <w:tc>
          <w:tcPr>
            <w:tcW w:w="2651" w:type="dxa"/>
            <w:gridSpan w:val="3"/>
            <w:vAlign w:val="center"/>
          </w:tcPr>
          <w:p>
            <w:pPr>
              <w:jc w:val="center"/>
              <w:rPr>
                <w:sz w:val="20"/>
                <w:szCs w:val="20"/>
              </w:rPr>
            </w:pPr>
            <w:r>
              <w:rPr>
                <w:rFonts w:hint="eastAsia"/>
                <w:sz w:val="20"/>
                <w:szCs w:val="20"/>
              </w:rPr>
              <w:t>引进高端人才及引进博士</w:t>
            </w:r>
          </w:p>
        </w:tc>
        <w:tc>
          <w:tcPr>
            <w:tcW w:w="1577" w:type="dxa"/>
            <w:gridSpan w:val="2"/>
            <w:vAlign w:val="center"/>
          </w:tcPr>
          <w:p>
            <w:pPr>
              <w:jc w:val="center"/>
              <w:rPr>
                <w:sz w:val="20"/>
                <w:szCs w:val="20"/>
              </w:rPr>
            </w:pPr>
            <w:r>
              <w:rPr>
                <w:sz w:val="20"/>
                <w:szCs w:val="20"/>
              </w:rPr>
              <w:t>18</w:t>
            </w:r>
          </w:p>
        </w:tc>
        <w:tc>
          <w:tcPr>
            <w:tcW w:w="1394" w:type="dxa"/>
            <w:gridSpan w:val="3"/>
            <w:vAlign w:val="center"/>
          </w:tcPr>
          <w:p>
            <w:pPr>
              <w:jc w:val="center"/>
              <w:rPr>
                <w:sz w:val="20"/>
                <w:szCs w:val="20"/>
              </w:rPr>
            </w:pPr>
            <w:r>
              <w:rPr>
                <w:sz w:val="20"/>
                <w:szCs w:val="20"/>
              </w:rPr>
              <w:t>9</w:t>
            </w:r>
          </w:p>
        </w:tc>
        <w:tc>
          <w:tcPr>
            <w:tcW w:w="877" w:type="dxa"/>
            <w:vAlign w:val="center"/>
          </w:tcPr>
          <w:p>
            <w:pPr>
              <w:jc w:val="center"/>
              <w:rPr>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restart"/>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651" w:type="dxa"/>
            <w:gridSpan w:val="3"/>
            <w:vAlign w:val="center"/>
          </w:tcPr>
          <w:p>
            <w:pPr>
              <w:jc w:val="center"/>
              <w:rPr>
                <w:sz w:val="20"/>
                <w:szCs w:val="20"/>
              </w:rPr>
            </w:pPr>
            <w:r>
              <w:rPr>
                <w:rFonts w:hint="eastAsia"/>
                <w:sz w:val="20"/>
                <w:szCs w:val="20"/>
              </w:rPr>
              <w:t>教学科研平台</w:t>
            </w:r>
          </w:p>
        </w:tc>
        <w:tc>
          <w:tcPr>
            <w:tcW w:w="1577" w:type="dxa"/>
            <w:gridSpan w:val="2"/>
            <w:vAlign w:val="center"/>
          </w:tcPr>
          <w:p>
            <w:pPr>
              <w:jc w:val="center"/>
              <w:rPr>
                <w:sz w:val="20"/>
                <w:szCs w:val="20"/>
              </w:rPr>
            </w:pPr>
            <w:r>
              <w:rPr>
                <w:rFonts w:hint="eastAsia"/>
                <w:sz w:val="20"/>
                <w:szCs w:val="20"/>
              </w:rPr>
              <w:t>6个</w:t>
            </w:r>
          </w:p>
        </w:tc>
        <w:tc>
          <w:tcPr>
            <w:tcW w:w="1394" w:type="dxa"/>
            <w:gridSpan w:val="3"/>
            <w:vAlign w:val="center"/>
          </w:tcPr>
          <w:p>
            <w:pPr>
              <w:jc w:val="center"/>
              <w:rPr>
                <w:sz w:val="20"/>
                <w:szCs w:val="20"/>
              </w:rPr>
            </w:pPr>
            <w:r>
              <w:rPr>
                <w:rFonts w:hint="eastAsia"/>
                <w:sz w:val="20"/>
                <w:szCs w:val="20"/>
              </w:rPr>
              <w:t>6个</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jc w:val="center"/>
              <w:rPr>
                <w:sz w:val="20"/>
                <w:szCs w:val="20"/>
              </w:rPr>
            </w:pPr>
            <w:r>
              <w:rPr>
                <w:rFonts w:hint="eastAsia"/>
                <w:sz w:val="20"/>
                <w:szCs w:val="20"/>
              </w:rPr>
              <w:t>培育和申报国家级高层次人才工程</w:t>
            </w:r>
          </w:p>
        </w:tc>
        <w:tc>
          <w:tcPr>
            <w:tcW w:w="1577" w:type="dxa"/>
            <w:gridSpan w:val="2"/>
            <w:vAlign w:val="center"/>
          </w:tcPr>
          <w:p>
            <w:pPr>
              <w:jc w:val="center"/>
              <w:rPr>
                <w:sz w:val="20"/>
                <w:szCs w:val="20"/>
              </w:rPr>
            </w:pPr>
            <w:r>
              <w:rPr>
                <w:rFonts w:hint="eastAsia"/>
                <w:sz w:val="20"/>
                <w:szCs w:val="20"/>
              </w:rPr>
              <w:t>2人</w:t>
            </w:r>
          </w:p>
        </w:tc>
        <w:tc>
          <w:tcPr>
            <w:tcW w:w="1394" w:type="dxa"/>
            <w:gridSpan w:val="3"/>
            <w:vAlign w:val="center"/>
          </w:tcPr>
          <w:p>
            <w:pPr>
              <w:jc w:val="center"/>
              <w:rPr>
                <w:sz w:val="20"/>
                <w:szCs w:val="20"/>
              </w:rPr>
            </w:pPr>
            <w:r>
              <w:rPr>
                <w:rFonts w:hint="eastAsia"/>
                <w:sz w:val="20"/>
                <w:szCs w:val="20"/>
              </w:rPr>
              <w:t>2人</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rPr>
                <w:rFonts w:ascii="宋体" w:hAnsi="宋体" w:eastAsia="宋体" w:cs="宋体"/>
                <w:sz w:val="20"/>
                <w:szCs w:val="20"/>
              </w:rPr>
            </w:pPr>
          </w:p>
        </w:tc>
        <w:tc>
          <w:tcPr>
            <w:tcW w:w="2651" w:type="dxa"/>
            <w:gridSpan w:val="3"/>
            <w:vAlign w:val="center"/>
          </w:tcPr>
          <w:p>
            <w:pPr>
              <w:jc w:val="center"/>
              <w:rPr>
                <w:sz w:val="20"/>
                <w:szCs w:val="20"/>
              </w:rPr>
            </w:pPr>
            <w:r>
              <w:rPr>
                <w:rFonts w:hint="eastAsia"/>
                <w:sz w:val="20"/>
                <w:szCs w:val="20"/>
              </w:rPr>
              <w:t>高水平论文</w:t>
            </w:r>
          </w:p>
        </w:tc>
        <w:tc>
          <w:tcPr>
            <w:tcW w:w="1577" w:type="dxa"/>
            <w:gridSpan w:val="2"/>
            <w:vAlign w:val="center"/>
          </w:tcPr>
          <w:p>
            <w:pPr>
              <w:jc w:val="center"/>
              <w:rPr>
                <w:sz w:val="20"/>
                <w:szCs w:val="20"/>
              </w:rPr>
            </w:pPr>
            <w:r>
              <w:rPr>
                <w:rFonts w:hint="eastAsia"/>
                <w:sz w:val="20"/>
                <w:szCs w:val="20"/>
              </w:rPr>
              <w:t>20篇</w:t>
            </w:r>
          </w:p>
        </w:tc>
        <w:tc>
          <w:tcPr>
            <w:tcW w:w="1394" w:type="dxa"/>
            <w:gridSpan w:val="3"/>
            <w:vAlign w:val="center"/>
          </w:tcPr>
          <w:p>
            <w:pPr>
              <w:jc w:val="center"/>
              <w:rPr>
                <w:sz w:val="20"/>
                <w:szCs w:val="20"/>
              </w:rPr>
            </w:pPr>
            <w:r>
              <w:rPr>
                <w:rFonts w:hint="eastAsia"/>
                <w:sz w:val="20"/>
                <w:szCs w:val="20"/>
              </w:rPr>
              <w:t>20篇</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rPr>
                <w:rFonts w:ascii="宋体" w:hAnsi="宋体" w:eastAsia="宋体" w:cs="宋体"/>
                <w:sz w:val="20"/>
                <w:szCs w:val="20"/>
              </w:rPr>
            </w:pPr>
          </w:p>
        </w:tc>
        <w:tc>
          <w:tcPr>
            <w:tcW w:w="2651" w:type="dxa"/>
            <w:gridSpan w:val="3"/>
            <w:vAlign w:val="center"/>
          </w:tcPr>
          <w:p>
            <w:pPr>
              <w:jc w:val="center"/>
              <w:rPr>
                <w:sz w:val="20"/>
                <w:szCs w:val="20"/>
              </w:rPr>
            </w:pPr>
            <w:r>
              <w:rPr>
                <w:rFonts w:hint="eastAsia"/>
                <w:sz w:val="20"/>
                <w:szCs w:val="20"/>
              </w:rPr>
              <w:t>发明专利</w:t>
            </w:r>
          </w:p>
        </w:tc>
        <w:tc>
          <w:tcPr>
            <w:tcW w:w="1577" w:type="dxa"/>
            <w:gridSpan w:val="2"/>
            <w:vAlign w:val="center"/>
          </w:tcPr>
          <w:p>
            <w:pPr>
              <w:jc w:val="center"/>
              <w:rPr>
                <w:sz w:val="20"/>
                <w:szCs w:val="20"/>
              </w:rPr>
            </w:pPr>
            <w:r>
              <w:rPr>
                <w:rFonts w:hint="eastAsia"/>
                <w:sz w:val="20"/>
                <w:szCs w:val="20"/>
              </w:rPr>
              <w:t>10项</w:t>
            </w:r>
          </w:p>
        </w:tc>
        <w:tc>
          <w:tcPr>
            <w:tcW w:w="1394" w:type="dxa"/>
            <w:gridSpan w:val="3"/>
            <w:vAlign w:val="center"/>
          </w:tcPr>
          <w:p>
            <w:pPr>
              <w:jc w:val="center"/>
              <w:rPr>
                <w:sz w:val="20"/>
                <w:szCs w:val="20"/>
              </w:rPr>
            </w:pPr>
            <w:r>
              <w:rPr>
                <w:rFonts w:hint="eastAsia"/>
                <w:sz w:val="20"/>
                <w:szCs w:val="20"/>
              </w:rPr>
              <w:t>20项</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rPr>
                <w:rFonts w:ascii="宋体" w:hAnsi="宋体" w:eastAsia="宋体" w:cs="宋体"/>
                <w:sz w:val="20"/>
                <w:szCs w:val="20"/>
              </w:rPr>
            </w:pPr>
          </w:p>
        </w:tc>
        <w:tc>
          <w:tcPr>
            <w:tcW w:w="2651" w:type="dxa"/>
            <w:gridSpan w:val="3"/>
            <w:vAlign w:val="center"/>
          </w:tcPr>
          <w:p>
            <w:pPr>
              <w:jc w:val="center"/>
              <w:rPr>
                <w:sz w:val="20"/>
                <w:szCs w:val="20"/>
              </w:rPr>
            </w:pPr>
            <w:r>
              <w:rPr>
                <w:rFonts w:hint="eastAsia"/>
                <w:sz w:val="20"/>
                <w:szCs w:val="20"/>
              </w:rPr>
              <w:t>申报及获批省部级科技奖励</w:t>
            </w:r>
          </w:p>
        </w:tc>
        <w:tc>
          <w:tcPr>
            <w:tcW w:w="1577" w:type="dxa"/>
            <w:gridSpan w:val="2"/>
            <w:vAlign w:val="center"/>
          </w:tcPr>
          <w:p>
            <w:pPr>
              <w:jc w:val="center"/>
              <w:rPr>
                <w:sz w:val="20"/>
                <w:szCs w:val="20"/>
              </w:rPr>
            </w:pPr>
            <w:r>
              <w:rPr>
                <w:rFonts w:hint="eastAsia"/>
                <w:sz w:val="20"/>
                <w:szCs w:val="20"/>
              </w:rPr>
              <w:t>4次</w:t>
            </w:r>
          </w:p>
        </w:tc>
        <w:tc>
          <w:tcPr>
            <w:tcW w:w="1394" w:type="dxa"/>
            <w:gridSpan w:val="3"/>
            <w:vAlign w:val="center"/>
          </w:tcPr>
          <w:p>
            <w:pPr>
              <w:jc w:val="center"/>
              <w:rPr>
                <w:sz w:val="20"/>
                <w:szCs w:val="20"/>
              </w:rPr>
            </w:pPr>
            <w:r>
              <w:rPr>
                <w:rFonts w:hint="eastAsia"/>
                <w:sz w:val="20"/>
                <w:szCs w:val="20"/>
              </w:rPr>
              <w:t>5次</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rPr>
                <w:rFonts w:ascii="宋体" w:hAnsi="宋体" w:eastAsia="宋体" w:cs="宋体"/>
                <w:sz w:val="20"/>
                <w:szCs w:val="20"/>
              </w:rPr>
            </w:pPr>
          </w:p>
        </w:tc>
        <w:tc>
          <w:tcPr>
            <w:tcW w:w="2651" w:type="dxa"/>
            <w:gridSpan w:val="3"/>
            <w:vAlign w:val="center"/>
          </w:tcPr>
          <w:p>
            <w:pPr>
              <w:jc w:val="center"/>
              <w:rPr>
                <w:sz w:val="20"/>
                <w:szCs w:val="20"/>
              </w:rPr>
            </w:pPr>
            <w:r>
              <w:rPr>
                <w:rFonts w:hint="eastAsia"/>
                <w:sz w:val="20"/>
                <w:szCs w:val="20"/>
              </w:rPr>
              <w:t>举办国际国内学术会议</w:t>
            </w:r>
          </w:p>
        </w:tc>
        <w:tc>
          <w:tcPr>
            <w:tcW w:w="1577" w:type="dxa"/>
            <w:gridSpan w:val="2"/>
            <w:vAlign w:val="center"/>
          </w:tcPr>
          <w:p>
            <w:pPr>
              <w:jc w:val="center"/>
              <w:rPr>
                <w:sz w:val="20"/>
                <w:szCs w:val="20"/>
              </w:rPr>
            </w:pPr>
            <w:r>
              <w:rPr>
                <w:rFonts w:hint="eastAsia"/>
                <w:sz w:val="20"/>
                <w:szCs w:val="20"/>
              </w:rPr>
              <w:t>4次</w:t>
            </w:r>
          </w:p>
        </w:tc>
        <w:tc>
          <w:tcPr>
            <w:tcW w:w="1394" w:type="dxa"/>
            <w:gridSpan w:val="3"/>
            <w:vAlign w:val="center"/>
          </w:tcPr>
          <w:p>
            <w:pPr>
              <w:jc w:val="center"/>
              <w:rPr>
                <w:sz w:val="20"/>
                <w:szCs w:val="20"/>
              </w:rPr>
            </w:pPr>
            <w:r>
              <w:rPr>
                <w:rFonts w:hint="eastAsia"/>
                <w:sz w:val="20"/>
                <w:szCs w:val="20"/>
              </w:rPr>
              <w:t>4次</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651" w:type="dxa"/>
            <w:gridSpan w:val="3"/>
            <w:vAlign w:val="center"/>
          </w:tcPr>
          <w:p>
            <w:pPr>
              <w:jc w:val="center"/>
              <w:rPr>
                <w:sz w:val="20"/>
                <w:szCs w:val="20"/>
              </w:rPr>
            </w:pPr>
            <w:r>
              <w:rPr>
                <w:rFonts w:hint="eastAsia"/>
                <w:sz w:val="20"/>
                <w:szCs w:val="20"/>
              </w:rPr>
              <w:t>引进、培养回校博士、教授等高层次人才数量</w:t>
            </w:r>
          </w:p>
        </w:tc>
        <w:tc>
          <w:tcPr>
            <w:tcW w:w="1577" w:type="dxa"/>
            <w:gridSpan w:val="2"/>
            <w:vAlign w:val="center"/>
          </w:tcPr>
          <w:p>
            <w:pPr>
              <w:jc w:val="center"/>
              <w:rPr>
                <w:sz w:val="20"/>
                <w:szCs w:val="20"/>
              </w:rPr>
            </w:pPr>
            <w:r>
              <w:rPr>
                <w:rFonts w:hint="eastAsia"/>
                <w:sz w:val="20"/>
                <w:szCs w:val="20"/>
              </w:rPr>
              <w:t>65人</w:t>
            </w:r>
          </w:p>
        </w:tc>
        <w:tc>
          <w:tcPr>
            <w:tcW w:w="1394" w:type="dxa"/>
            <w:gridSpan w:val="3"/>
            <w:vAlign w:val="center"/>
          </w:tcPr>
          <w:p>
            <w:pPr>
              <w:jc w:val="center"/>
              <w:rPr>
                <w:sz w:val="20"/>
                <w:szCs w:val="20"/>
              </w:rPr>
            </w:pPr>
            <w:r>
              <w:rPr>
                <w:rFonts w:hint="eastAsia"/>
                <w:sz w:val="20"/>
                <w:szCs w:val="20"/>
              </w:rPr>
              <w:t>65人</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651" w:type="dxa"/>
            <w:gridSpan w:val="3"/>
            <w:vAlign w:val="center"/>
          </w:tcPr>
          <w:p>
            <w:pPr>
              <w:jc w:val="center"/>
              <w:rPr>
                <w:sz w:val="20"/>
                <w:szCs w:val="20"/>
              </w:rPr>
            </w:pPr>
            <w:r>
              <w:rPr>
                <w:rFonts w:hint="eastAsia"/>
                <w:sz w:val="20"/>
                <w:szCs w:val="20"/>
              </w:rPr>
              <w:t>新增外聘各类专家</w:t>
            </w:r>
          </w:p>
        </w:tc>
        <w:tc>
          <w:tcPr>
            <w:tcW w:w="1577" w:type="dxa"/>
            <w:gridSpan w:val="2"/>
            <w:vAlign w:val="center"/>
          </w:tcPr>
          <w:p>
            <w:pPr>
              <w:jc w:val="center"/>
              <w:rPr>
                <w:sz w:val="20"/>
                <w:szCs w:val="20"/>
              </w:rPr>
            </w:pPr>
            <w:r>
              <w:rPr>
                <w:rFonts w:hint="eastAsia"/>
                <w:sz w:val="20"/>
                <w:szCs w:val="20"/>
              </w:rPr>
              <w:t>3-5人</w:t>
            </w:r>
          </w:p>
        </w:tc>
        <w:tc>
          <w:tcPr>
            <w:tcW w:w="1394" w:type="dxa"/>
            <w:gridSpan w:val="3"/>
            <w:vAlign w:val="center"/>
          </w:tcPr>
          <w:p>
            <w:pPr>
              <w:jc w:val="center"/>
              <w:rPr>
                <w:sz w:val="20"/>
                <w:szCs w:val="20"/>
              </w:rPr>
            </w:pPr>
            <w:r>
              <w:rPr>
                <w:rFonts w:hint="eastAsia"/>
                <w:sz w:val="20"/>
                <w:szCs w:val="20"/>
              </w:rPr>
              <w:t>5人</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651" w:type="dxa"/>
            <w:gridSpan w:val="3"/>
            <w:vAlign w:val="center"/>
          </w:tcPr>
          <w:p>
            <w:pPr>
              <w:jc w:val="center"/>
              <w:rPr>
                <w:sz w:val="20"/>
                <w:szCs w:val="20"/>
              </w:rPr>
            </w:pPr>
            <w:r>
              <w:rPr>
                <w:rFonts w:hint="eastAsia"/>
                <w:sz w:val="20"/>
                <w:szCs w:val="20"/>
              </w:rPr>
              <w:t>选派骨干教师出国研修人数</w:t>
            </w:r>
          </w:p>
        </w:tc>
        <w:tc>
          <w:tcPr>
            <w:tcW w:w="1577" w:type="dxa"/>
            <w:gridSpan w:val="2"/>
            <w:vAlign w:val="center"/>
          </w:tcPr>
          <w:p>
            <w:pPr>
              <w:jc w:val="center"/>
              <w:rPr>
                <w:sz w:val="20"/>
                <w:szCs w:val="20"/>
              </w:rPr>
            </w:pPr>
            <w:r>
              <w:rPr>
                <w:sz w:val="20"/>
                <w:szCs w:val="20"/>
              </w:rPr>
              <w:t>27</w:t>
            </w:r>
          </w:p>
        </w:tc>
        <w:tc>
          <w:tcPr>
            <w:tcW w:w="1394" w:type="dxa"/>
            <w:gridSpan w:val="3"/>
            <w:vAlign w:val="center"/>
          </w:tcPr>
          <w:p>
            <w:pPr>
              <w:jc w:val="center"/>
              <w:rPr>
                <w:sz w:val="20"/>
                <w:szCs w:val="20"/>
              </w:rPr>
            </w:pPr>
            <w:r>
              <w:rPr>
                <w:sz w:val="20"/>
                <w:szCs w:val="20"/>
              </w:rPr>
              <w:t>35</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651" w:type="dxa"/>
            <w:gridSpan w:val="3"/>
            <w:vAlign w:val="center"/>
          </w:tcPr>
          <w:p>
            <w:pPr>
              <w:jc w:val="center"/>
              <w:rPr>
                <w:sz w:val="20"/>
                <w:szCs w:val="20"/>
              </w:rPr>
            </w:pPr>
            <w:r>
              <w:rPr>
                <w:rFonts w:hint="eastAsia"/>
                <w:sz w:val="20"/>
                <w:szCs w:val="20"/>
              </w:rPr>
              <w:t>选派骨干教师国内访学人数</w:t>
            </w:r>
          </w:p>
        </w:tc>
        <w:tc>
          <w:tcPr>
            <w:tcW w:w="1577" w:type="dxa"/>
            <w:gridSpan w:val="2"/>
            <w:vAlign w:val="center"/>
          </w:tcPr>
          <w:p>
            <w:pPr>
              <w:jc w:val="center"/>
              <w:rPr>
                <w:sz w:val="20"/>
                <w:szCs w:val="20"/>
              </w:rPr>
            </w:pPr>
            <w:r>
              <w:rPr>
                <w:sz w:val="20"/>
                <w:szCs w:val="20"/>
              </w:rPr>
              <w:t>6</w:t>
            </w:r>
          </w:p>
        </w:tc>
        <w:tc>
          <w:tcPr>
            <w:tcW w:w="1394" w:type="dxa"/>
            <w:gridSpan w:val="3"/>
            <w:vAlign w:val="center"/>
          </w:tcPr>
          <w:p>
            <w:pPr>
              <w:jc w:val="center"/>
              <w:rPr>
                <w:sz w:val="20"/>
                <w:szCs w:val="20"/>
              </w:rPr>
            </w:pPr>
            <w:r>
              <w:rPr>
                <w:sz w:val="20"/>
                <w:szCs w:val="20"/>
              </w:rPr>
              <w:t>6</w:t>
            </w:r>
          </w:p>
        </w:tc>
        <w:tc>
          <w:tcPr>
            <w:tcW w:w="877" w:type="dxa"/>
            <w:vAlign w:val="center"/>
          </w:tcPr>
          <w:p>
            <w:pPr>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tcPr>
          <w:p>
            <w:pPr>
              <w:adjustRightInd w:val="0"/>
              <w:snapToGrid w:val="0"/>
            </w:pPr>
          </w:p>
        </w:tc>
        <w:tc>
          <w:tcPr>
            <w:tcW w:w="2651" w:type="dxa"/>
            <w:gridSpan w:val="3"/>
            <w:vAlign w:val="center"/>
          </w:tcPr>
          <w:p>
            <w:pPr>
              <w:jc w:val="center"/>
              <w:rPr>
                <w:sz w:val="20"/>
                <w:szCs w:val="20"/>
              </w:rPr>
            </w:pPr>
            <w:r>
              <w:rPr>
                <w:rFonts w:hint="eastAsia"/>
                <w:sz w:val="20"/>
                <w:szCs w:val="20"/>
              </w:rPr>
              <w:t>选派教师进行实践能力培养人数</w:t>
            </w:r>
          </w:p>
        </w:tc>
        <w:tc>
          <w:tcPr>
            <w:tcW w:w="1577" w:type="dxa"/>
            <w:gridSpan w:val="2"/>
            <w:vAlign w:val="center"/>
          </w:tcPr>
          <w:p>
            <w:pPr>
              <w:jc w:val="center"/>
              <w:rPr>
                <w:sz w:val="20"/>
                <w:szCs w:val="20"/>
              </w:rPr>
            </w:pPr>
            <w:r>
              <w:rPr>
                <w:sz w:val="20"/>
                <w:szCs w:val="20"/>
              </w:rPr>
              <w:t>10</w:t>
            </w:r>
          </w:p>
        </w:tc>
        <w:tc>
          <w:tcPr>
            <w:tcW w:w="1394" w:type="dxa"/>
            <w:gridSpan w:val="3"/>
            <w:vAlign w:val="center"/>
          </w:tcPr>
          <w:p>
            <w:pPr>
              <w:jc w:val="center"/>
              <w:rPr>
                <w:sz w:val="20"/>
                <w:szCs w:val="20"/>
              </w:rPr>
            </w:pPr>
            <w:r>
              <w:rPr>
                <w:sz w:val="20"/>
                <w:szCs w:val="20"/>
              </w:rPr>
              <w:t>23</w:t>
            </w:r>
          </w:p>
        </w:tc>
        <w:tc>
          <w:tcPr>
            <w:tcW w:w="877" w:type="dxa"/>
            <w:vAlign w:val="center"/>
          </w:tcPr>
          <w:p>
            <w:pPr>
              <w:jc w:val="center"/>
              <w:rPr>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rPr>
                <w:rFonts w:ascii="宋体" w:hAnsi="宋体" w:eastAsia="宋体" w:cs="宋体"/>
                <w:sz w:val="20"/>
                <w:szCs w:val="20"/>
              </w:rPr>
            </w:pPr>
          </w:p>
        </w:tc>
        <w:tc>
          <w:tcPr>
            <w:tcW w:w="2651" w:type="dxa"/>
            <w:gridSpan w:val="3"/>
            <w:vAlign w:val="center"/>
          </w:tcPr>
          <w:p>
            <w:pPr>
              <w:jc w:val="center"/>
              <w:rPr>
                <w:sz w:val="20"/>
                <w:szCs w:val="20"/>
              </w:rPr>
            </w:pPr>
            <w:r>
              <w:rPr>
                <w:rFonts w:hint="eastAsia"/>
                <w:sz w:val="20"/>
                <w:szCs w:val="20"/>
              </w:rPr>
              <w:t>选派教师参加各类专题业务培训人数</w:t>
            </w:r>
          </w:p>
        </w:tc>
        <w:tc>
          <w:tcPr>
            <w:tcW w:w="1577" w:type="dxa"/>
            <w:gridSpan w:val="2"/>
            <w:vAlign w:val="center"/>
          </w:tcPr>
          <w:p>
            <w:pPr>
              <w:jc w:val="center"/>
              <w:rPr>
                <w:sz w:val="20"/>
                <w:szCs w:val="20"/>
              </w:rPr>
            </w:pPr>
            <w:r>
              <w:rPr>
                <w:sz w:val="20"/>
                <w:szCs w:val="20"/>
              </w:rPr>
              <w:t>200</w:t>
            </w:r>
          </w:p>
        </w:tc>
        <w:tc>
          <w:tcPr>
            <w:tcW w:w="1394" w:type="dxa"/>
            <w:gridSpan w:val="3"/>
            <w:vAlign w:val="center"/>
          </w:tcPr>
          <w:p>
            <w:pPr>
              <w:jc w:val="center"/>
              <w:rPr>
                <w:sz w:val="20"/>
                <w:szCs w:val="20"/>
              </w:rPr>
            </w:pPr>
            <w:r>
              <w:rPr>
                <w:sz w:val="20"/>
                <w:szCs w:val="20"/>
              </w:rPr>
              <w:t>227</w:t>
            </w:r>
          </w:p>
        </w:tc>
        <w:tc>
          <w:tcPr>
            <w:tcW w:w="877" w:type="dxa"/>
            <w:vAlign w:val="center"/>
          </w:tcPr>
          <w:p>
            <w:pPr>
              <w:jc w:val="center"/>
              <w:rPr>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rPr>
                <w:sz w:val="20"/>
                <w:szCs w:val="20"/>
              </w:rPr>
            </w:pPr>
            <w:r>
              <w:rPr>
                <w:rFonts w:hint="eastAsia"/>
                <w:sz w:val="20"/>
                <w:szCs w:val="20"/>
              </w:rPr>
              <w:t>质量指标</w:t>
            </w:r>
          </w:p>
        </w:tc>
        <w:tc>
          <w:tcPr>
            <w:tcW w:w="2651" w:type="dxa"/>
            <w:gridSpan w:val="3"/>
            <w:vAlign w:val="center"/>
          </w:tcPr>
          <w:p>
            <w:pPr>
              <w:adjustRightInd w:val="0"/>
              <w:snapToGrid w:val="0"/>
              <w:jc w:val="center"/>
              <w:rPr>
                <w:sz w:val="20"/>
                <w:szCs w:val="20"/>
              </w:rPr>
            </w:pPr>
            <w:r>
              <w:rPr>
                <w:rFonts w:hint="eastAsia"/>
                <w:sz w:val="20"/>
                <w:szCs w:val="20"/>
              </w:rPr>
              <w:t>三峡大学水电楼电梯更新工程、排水管道网详查项目质量合格率</w:t>
            </w:r>
          </w:p>
        </w:tc>
        <w:tc>
          <w:tcPr>
            <w:tcW w:w="1577" w:type="dxa"/>
            <w:gridSpan w:val="2"/>
            <w:vAlign w:val="center"/>
          </w:tcPr>
          <w:p>
            <w:pPr>
              <w:adjustRightInd w:val="0"/>
              <w:snapToGrid w:val="0"/>
              <w:jc w:val="center"/>
              <w:rPr>
                <w:sz w:val="20"/>
                <w:szCs w:val="20"/>
              </w:rPr>
            </w:pPr>
            <w:r>
              <w:rPr>
                <w:sz w:val="20"/>
                <w:szCs w:val="20"/>
              </w:rPr>
              <w:t>100%</w:t>
            </w:r>
          </w:p>
        </w:tc>
        <w:tc>
          <w:tcPr>
            <w:tcW w:w="1394" w:type="dxa"/>
            <w:gridSpan w:val="3"/>
            <w:vAlign w:val="center"/>
          </w:tcPr>
          <w:p>
            <w:pPr>
              <w:adjustRightInd w:val="0"/>
              <w:snapToGrid w:val="0"/>
              <w:jc w:val="center"/>
              <w:rPr>
                <w:sz w:val="20"/>
                <w:szCs w:val="20"/>
              </w:rPr>
            </w:pPr>
            <w:r>
              <w:rPr>
                <w:rFonts w:hint="eastAsia"/>
                <w:sz w:val="20"/>
                <w:szCs w:val="20"/>
              </w:rPr>
              <w:t>水电楼电梯更新工程得分1</w:t>
            </w:r>
            <w:r>
              <w:rPr>
                <w:sz w:val="20"/>
                <w:szCs w:val="20"/>
              </w:rPr>
              <w:t>.5</w:t>
            </w:r>
            <w:r>
              <w:rPr>
                <w:rFonts w:hint="eastAsia"/>
                <w:sz w:val="20"/>
                <w:szCs w:val="20"/>
              </w:rPr>
              <w:t>分</w:t>
            </w:r>
          </w:p>
        </w:tc>
        <w:tc>
          <w:tcPr>
            <w:tcW w:w="877" w:type="dxa"/>
            <w:vAlign w:val="center"/>
          </w:tcPr>
          <w:p>
            <w:pPr>
              <w:adjustRightInd w:val="0"/>
              <w:snapToGrid w:val="0"/>
              <w:jc w:val="center"/>
              <w:rPr>
                <w:sz w:val="20"/>
                <w:szCs w:val="20"/>
              </w:rPr>
            </w:pPr>
            <w:r>
              <w:rPr>
                <w:rFonts w:hint="eastAsia"/>
                <w:sz w:val="20"/>
                <w:szCs w:val="20"/>
              </w:rPr>
              <w:t>1</w:t>
            </w: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651"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577"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adjustRightInd w:val="0"/>
              <w:snapToGrid w:val="0"/>
              <w:rPr>
                <w:rFonts w:ascii="仿宋_GB2312" w:hAnsi="宋体" w:cs="宋体"/>
                <w:kern w:val="0"/>
                <w:sz w:val="21"/>
                <w:szCs w:val="21"/>
              </w:rPr>
            </w:pPr>
            <w:r>
              <w:rPr>
                <w:rFonts w:hint="eastAsia" w:ascii="仿宋_GB2312" w:hAnsi="宋体" w:cs="宋体"/>
                <w:kern w:val="0"/>
                <w:sz w:val="21"/>
                <w:szCs w:val="21"/>
              </w:rPr>
              <w:t>效益指标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Align w:val="center"/>
          </w:tcPr>
          <w:p>
            <w:pPr>
              <w:adjustRightInd w:val="0"/>
              <w:snapToGrid w:val="0"/>
              <w:rPr>
                <w:rFonts w:ascii="宋体" w:hAnsi="宋体" w:eastAsia="宋体" w:cs="宋体"/>
                <w:sz w:val="20"/>
                <w:szCs w:val="20"/>
              </w:rPr>
            </w:pPr>
            <w:r>
              <w:rPr>
                <w:rFonts w:hint="eastAsia"/>
                <w:sz w:val="20"/>
                <w:szCs w:val="20"/>
              </w:rPr>
              <w:t>可持续影响指标</w:t>
            </w:r>
          </w:p>
        </w:tc>
        <w:tc>
          <w:tcPr>
            <w:tcW w:w="2651" w:type="dxa"/>
            <w:gridSpan w:val="3"/>
            <w:vAlign w:val="center"/>
          </w:tcPr>
          <w:p>
            <w:pPr>
              <w:adjustRightInd w:val="0"/>
              <w:snapToGrid w:val="0"/>
              <w:jc w:val="center"/>
              <w:rPr>
                <w:sz w:val="20"/>
                <w:szCs w:val="20"/>
              </w:rPr>
            </w:pPr>
            <w:r>
              <w:rPr>
                <w:rFonts w:hint="eastAsia"/>
                <w:sz w:val="20"/>
                <w:szCs w:val="20"/>
              </w:rPr>
              <w:t>高层次人才首聘期考核合格率</w:t>
            </w:r>
          </w:p>
        </w:tc>
        <w:tc>
          <w:tcPr>
            <w:tcW w:w="1577" w:type="dxa"/>
            <w:gridSpan w:val="2"/>
            <w:vAlign w:val="center"/>
          </w:tcPr>
          <w:p>
            <w:pPr>
              <w:jc w:val="center"/>
              <w:rPr>
                <w:sz w:val="20"/>
                <w:szCs w:val="20"/>
              </w:rPr>
            </w:pPr>
            <w:r>
              <w:rPr>
                <w:rFonts w:hint="eastAsia"/>
                <w:sz w:val="20"/>
                <w:szCs w:val="20"/>
              </w:rPr>
              <w:t>95%以上</w:t>
            </w:r>
          </w:p>
        </w:tc>
        <w:tc>
          <w:tcPr>
            <w:tcW w:w="1394" w:type="dxa"/>
            <w:gridSpan w:val="3"/>
            <w:vAlign w:val="center"/>
          </w:tcPr>
          <w:p>
            <w:pPr>
              <w:jc w:val="center"/>
              <w:rPr>
                <w:sz w:val="20"/>
                <w:szCs w:val="20"/>
              </w:rPr>
            </w:pPr>
            <w:r>
              <w:rPr>
                <w:rFonts w:hint="eastAsia"/>
                <w:sz w:val="20"/>
                <w:szCs w:val="20"/>
              </w:rPr>
              <w:t>97.78%</w:t>
            </w:r>
          </w:p>
        </w:tc>
        <w:tc>
          <w:tcPr>
            <w:tcW w:w="877" w:type="dxa"/>
            <w:vAlign w:val="center"/>
          </w:tcPr>
          <w:p>
            <w:pPr>
              <w:jc w:val="center"/>
              <w:rPr>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adjustRightInd w:val="0"/>
              <w:snapToGrid w:val="0"/>
              <w:rPr>
                <w:rFonts w:ascii="仿宋_GB2312" w:hAnsi="宋体" w:cs="宋体"/>
                <w:kern w:val="0"/>
                <w:sz w:val="21"/>
                <w:szCs w:val="21"/>
              </w:rPr>
            </w:pPr>
          </w:p>
        </w:tc>
        <w:tc>
          <w:tcPr>
            <w:tcW w:w="1134" w:type="dxa"/>
            <w:vMerge w:val="restart"/>
            <w:vAlign w:val="center"/>
          </w:tcPr>
          <w:p>
            <w:pPr>
              <w:adjustRightInd w:val="0"/>
              <w:snapToGrid w:val="0"/>
              <w:jc w:val="center"/>
            </w:pPr>
            <w:r>
              <w:rPr>
                <w:rFonts w:hint="eastAsia" w:ascii="仿宋_GB2312" w:hAnsi="宋体" w:cs="宋体"/>
                <w:kern w:val="0"/>
                <w:sz w:val="21"/>
                <w:szCs w:val="21"/>
              </w:rPr>
              <w:t>社会效益指标</w:t>
            </w:r>
          </w:p>
        </w:tc>
        <w:tc>
          <w:tcPr>
            <w:tcW w:w="2651" w:type="dxa"/>
            <w:gridSpan w:val="3"/>
            <w:vAlign w:val="center"/>
          </w:tcPr>
          <w:p>
            <w:pPr>
              <w:adjustRightInd w:val="0"/>
              <w:snapToGrid w:val="0"/>
              <w:jc w:val="center"/>
              <w:rPr>
                <w:sz w:val="20"/>
                <w:szCs w:val="20"/>
              </w:rPr>
            </w:pPr>
            <w:r>
              <w:rPr>
                <w:rFonts w:hint="eastAsia"/>
                <w:sz w:val="20"/>
                <w:szCs w:val="20"/>
              </w:rPr>
              <w:t>专著及教材</w:t>
            </w:r>
          </w:p>
        </w:tc>
        <w:tc>
          <w:tcPr>
            <w:tcW w:w="1577" w:type="dxa"/>
            <w:gridSpan w:val="2"/>
            <w:vAlign w:val="center"/>
          </w:tcPr>
          <w:p>
            <w:pPr>
              <w:adjustRightInd w:val="0"/>
              <w:snapToGrid w:val="0"/>
              <w:jc w:val="center"/>
              <w:rPr>
                <w:sz w:val="20"/>
                <w:szCs w:val="20"/>
              </w:rPr>
            </w:pPr>
            <w:r>
              <w:rPr>
                <w:rFonts w:hint="eastAsia"/>
                <w:sz w:val="20"/>
                <w:szCs w:val="20"/>
              </w:rPr>
              <w:t>5本</w:t>
            </w:r>
          </w:p>
        </w:tc>
        <w:tc>
          <w:tcPr>
            <w:tcW w:w="1394" w:type="dxa"/>
            <w:gridSpan w:val="3"/>
            <w:vAlign w:val="center"/>
          </w:tcPr>
          <w:p>
            <w:pPr>
              <w:adjustRightInd w:val="0"/>
              <w:snapToGrid w:val="0"/>
              <w:jc w:val="center"/>
              <w:rPr>
                <w:sz w:val="20"/>
                <w:szCs w:val="20"/>
              </w:rPr>
            </w:pPr>
            <w:r>
              <w:rPr>
                <w:rFonts w:hint="eastAsia"/>
                <w:sz w:val="20"/>
                <w:szCs w:val="20"/>
              </w:rPr>
              <w:t>4本</w:t>
            </w:r>
          </w:p>
        </w:tc>
        <w:tc>
          <w:tcPr>
            <w:tcW w:w="877" w:type="dxa"/>
            <w:vAlign w:val="center"/>
          </w:tcPr>
          <w:p>
            <w:pPr>
              <w:adjustRightInd w:val="0"/>
              <w:snapToGrid w:val="0"/>
              <w:jc w:val="center"/>
              <w:rPr>
                <w:sz w:val="20"/>
                <w:szCs w:val="20"/>
              </w:rPr>
            </w:pPr>
            <w:r>
              <w:rPr>
                <w:rFonts w:hint="eastAsia"/>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文献资源数量（电子期刊）</w:t>
            </w:r>
          </w:p>
        </w:tc>
        <w:tc>
          <w:tcPr>
            <w:tcW w:w="1577" w:type="dxa"/>
            <w:gridSpan w:val="2"/>
            <w:vAlign w:val="center"/>
          </w:tcPr>
          <w:p>
            <w:pPr>
              <w:adjustRightInd w:val="0"/>
              <w:snapToGrid w:val="0"/>
              <w:jc w:val="center"/>
              <w:rPr>
                <w:sz w:val="20"/>
                <w:szCs w:val="20"/>
              </w:rPr>
            </w:pPr>
            <w:r>
              <w:rPr>
                <w:rFonts w:hint="eastAsia"/>
                <w:sz w:val="20"/>
                <w:szCs w:val="20"/>
              </w:rPr>
              <w:t>3000种以上</w:t>
            </w:r>
          </w:p>
        </w:tc>
        <w:tc>
          <w:tcPr>
            <w:tcW w:w="1394" w:type="dxa"/>
            <w:gridSpan w:val="3"/>
            <w:vAlign w:val="center"/>
          </w:tcPr>
          <w:p>
            <w:pPr>
              <w:adjustRightInd w:val="0"/>
              <w:snapToGrid w:val="0"/>
              <w:jc w:val="center"/>
              <w:rPr>
                <w:sz w:val="20"/>
                <w:szCs w:val="20"/>
              </w:rPr>
            </w:pPr>
            <w:r>
              <w:rPr>
                <w:rFonts w:hint="eastAsia"/>
                <w:sz w:val="20"/>
                <w:szCs w:val="20"/>
              </w:rPr>
              <w:t>3167</w:t>
            </w:r>
          </w:p>
        </w:tc>
        <w:tc>
          <w:tcPr>
            <w:tcW w:w="877" w:type="dxa"/>
            <w:vAlign w:val="center"/>
          </w:tcPr>
          <w:p>
            <w:pPr>
              <w:adjustRightInd w:val="0"/>
              <w:snapToGrid w:val="0"/>
              <w:jc w:val="center"/>
              <w:rPr>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整合文献资源的质量（C级以上电子期刊资源）</w:t>
            </w:r>
          </w:p>
        </w:tc>
        <w:tc>
          <w:tcPr>
            <w:tcW w:w="1577" w:type="dxa"/>
            <w:gridSpan w:val="2"/>
            <w:vAlign w:val="center"/>
          </w:tcPr>
          <w:p>
            <w:pPr>
              <w:adjustRightInd w:val="0"/>
              <w:snapToGrid w:val="0"/>
              <w:jc w:val="center"/>
              <w:rPr>
                <w:sz w:val="20"/>
                <w:szCs w:val="20"/>
              </w:rPr>
            </w:pPr>
            <w:r>
              <w:rPr>
                <w:rFonts w:hint="eastAsia"/>
                <w:sz w:val="20"/>
                <w:szCs w:val="20"/>
              </w:rPr>
              <w:t>﹥10%</w:t>
            </w:r>
          </w:p>
        </w:tc>
        <w:tc>
          <w:tcPr>
            <w:tcW w:w="1394" w:type="dxa"/>
            <w:gridSpan w:val="3"/>
            <w:vAlign w:val="center"/>
          </w:tcPr>
          <w:p>
            <w:pPr>
              <w:adjustRightInd w:val="0"/>
              <w:snapToGrid w:val="0"/>
              <w:jc w:val="center"/>
              <w:rPr>
                <w:sz w:val="20"/>
                <w:szCs w:val="20"/>
              </w:rPr>
            </w:pPr>
            <w:r>
              <w:rPr>
                <w:rFonts w:hint="eastAsia"/>
                <w:sz w:val="20"/>
                <w:szCs w:val="20"/>
              </w:rPr>
              <w:t>12.00%</w:t>
            </w:r>
          </w:p>
        </w:tc>
        <w:tc>
          <w:tcPr>
            <w:tcW w:w="877" w:type="dxa"/>
            <w:vAlign w:val="center"/>
          </w:tcPr>
          <w:p>
            <w:pPr>
              <w:adjustRightInd w:val="0"/>
              <w:snapToGrid w:val="0"/>
              <w:jc w:val="center"/>
              <w:rPr>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平台服务范围</w:t>
            </w:r>
          </w:p>
        </w:tc>
        <w:tc>
          <w:tcPr>
            <w:tcW w:w="1577" w:type="dxa"/>
            <w:gridSpan w:val="2"/>
            <w:vAlign w:val="center"/>
          </w:tcPr>
          <w:p>
            <w:pPr>
              <w:adjustRightInd w:val="0"/>
              <w:snapToGrid w:val="0"/>
              <w:jc w:val="center"/>
              <w:rPr>
                <w:sz w:val="20"/>
                <w:szCs w:val="20"/>
              </w:rPr>
            </w:pPr>
            <w:r>
              <w:rPr>
                <w:rFonts w:hint="eastAsia"/>
                <w:sz w:val="20"/>
                <w:szCs w:val="20"/>
              </w:rPr>
              <w:t>可面向全校师生开放，并为区域内的科研院所、企事业单位提供数据服务</w:t>
            </w:r>
          </w:p>
        </w:tc>
        <w:tc>
          <w:tcPr>
            <w:tcW w:w="1394" w:type="dxa"/>
            <w:gridSpan w:val="3"/>
            <w:vAlign w:val="center"/>
          </w:tcPr>
          <w:p>
            <w:pPr>
              <w:adjustRightInd w:val="0"/>
              <w:snapToGrid w:val="0"/>
              <w:jc w:val="center"/>
              <w:rPr>
                <w:sz w:val="20"/>
                <w:szCs w:val="20"/>
              </w:rPr>
            </w:pPr>
            <w:r>
              <w:rPr>
                <w:rFonts w:hint="eastAsia"/>
                <w:sz w:val="20"/>
                <w:szCs w:val="20"/>
              </w:rPr>
              <w:t>完成</w:t>
            </w:r>
          </w:p>
        </w:tc>
        <w:tc>
          <w:tcPr>
            <w:tcW w:w="877" w:type="dxa"/>
            <w:vAlign w:val="center"/>
          </w:tcPr>
          <w:p>
            <w:pPr>
              <w:adjustRightInd w:val="0"/>
              <w:snapToGrid w:val="0"/>
              <w:jc w:val="center"/>
              <w:rPr>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骨干教师出国研修回校后能进行双语教学</w:t>
            </w:r>
          </w:p>
        </w:tc>
        <w:tc>
          <w:tcPr>
            <w:tcW w:w="1577" w:type="dxa"/>
            <w:gridSpan w:val="2"/>
            <w:vAlign w:val="center"/>
          </w:tcPr>
          <w:p>
            <w:pPr>
              <w:adjustRightInd w:val="0"/>
              <w:snapToGrid w:val="0"/>
              <w:jc w:val="center"/>
              <w:rPr>
                <w:sz w:val="20"/>
                <w:szCs w:val="20"/>
              </w:rPr>
            </w:pPr>
            <w:r>
              <w:rPr>
                <w:rFonts w:hint="eastAsia"/>
                <w:sz w:val="20"/>
                <w:szCs w:val="20"/>
              </w:rPr>
              <w:t>90%以上</w:t>
            </w:r>
          </w:p>
        </w:tc>
        <w:tc>
          <w:tcPr>
            <w:tcW w:w="1394" w:type="dxa"/>
            <w:gridSpan w:val="3"/>
            <w:vAlign w:val="center"/>
          </w:tcPr>
          <w:p>
            <w:pPr>
              <w:adjustRightInd w:val="0"/>
              <w:snapToGrid w:val="0"/>
              <w:jc w:val="center"/>
              <w:rPr>
                <w:sz w:val="20"/>
                <w:szCs w:val="20"/>
              </w:rPr>
            </w:pPr>
            <w:r>
              <w:rPr>
                <w:rFonts w:hint="eastAsia"/>
                <w:sz w:val="20"/>
                <w:szCs w:val="20"/>
              </w:rPr>
              <w:t>100%</w:t>
            </w:r>
          </w:p>
        </w:tc>
        <w:tc>
          <w:tcPr>
            <w:tcW w:w="877" w:type="dxa"/>
            <w:vAlign w:val="center"/>
          </w:tcPr>
          <w:p>
            <w:pPr>
              <w:adjustRightInd w:val="0"/>
              <w:snapToGrid w:val="0"/>
              <w:jc w:val="center"/>
              <w:rPr>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参加专题培训人员合格率</w:t>
            </w:r>
          </w:p>
        </w:tc>
        <w:tc>
          <w:tcPr>
            <w:tcW w:w="1577" w:type="dxa"/>
            <w:gridSpan w:val="2"/>
            <w:vAlign w:val="center"/>
          </w:tcPr>
          <w:p>
            <w:pPr>
              <w:adjustRightInd w:val="0"/>
              <w:snapToGrid w:val="0"/>
              <w:jc w:val="center"/>
              <w:rPr>
                <w:sz w:val="20"/>
                <w:szCs w:val="20"/>
              </w:rPr>
            </w:pPr>
            <w:r>
              <w:rPr>
                <w:rFonts w:hint="eastAsia"/>
                <w:sz w:val="20"/>
                <w:szCs w:val="20"/>
              </w:rPr>
              <w:t>95%以上</w:t>
            </w:r>
          </w:p>
        </w:tc>
        <w:tc>
          <w:tcPr>
            <w:tcW w:w="1394" w:type="dxa"/>
            <w:gridSpan w:val="3"/>
            <w:vAlign w:val="center"/>
          </w:tcPr>
          <w:p>
            <w:pPr>
              <w:adjustRightInd w:val="0"/>
              <w:snapToGrid w:val="0"/>
              <w:jc w:val="center"/>
              <w:rPr>
                <w:sz w:val="20"/>
                <w:szCs w:val="20"/>
              </w:rPr>
            </w:pPr>
            <w:r>
              <w:rPr>
                <w:rFonts w:hint="eastAsia"/>
                <w:sz w:val="20"/>
                <w:szCs w:val="20"/>
              </w:rPr>
              <w:t>99.56%</w:t>
            </w:r>
          </w:p>
        </w:tc>
        <w:tc>
          <w:tcPr>
            <w:tcW w:w="877" w:type="dxa"/>
            <w:vAlign w:val="center"/>
          </w:tcPr>
          <w:p>
            <w:pPr>
              <w:adjustRightInd w:val="0"/>
              <w:snapToGrid w:val="0"/>
              <w:jc w:val="center"/>
              <w:rPr>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兑现引进人才（含拔尖人才）、培养回校博士安家费</w:t>
            </w:r>
          </w:p>
        </w:tc>
        <w:tc>
          <w:tcPr>
            <w:tcW w:w="1577" w:type="dxa"/>
            <w:gridSpan w:val="2"/>
            <w:vAlign w:val="center"/>
          </w:tcPr>
          <w:p>
            <w:pPr>
              <w:adjustRightInd w:val="0"/>
              <w:snapToGrid w:val="0"/>
              <w:jc w:val="center"/>
              <w:rPr>
                <w:sz w:val="20"/>
                <w:szCs w:val="20"/>
              </w:rPr>
            </w:pPr>
            <w:r>
              <w:rPr>
                <w:rFonts w:hint="eastAsia"/>
                <w:sz w:val="20"/>
                <w:szCs w:val="20"/>
              </w:rPr>
              <w:t>15-50万元/人</w:t>
            </w:r>
          </w:p>
        </w:tc>
        <w:tc>
          <w:tcPr>
            <w:tcW w:w="1394" w:type="dxa"/>
            <w:gridSpan w:val="3"/>
            <w:vAlign w:val="center"/>
          </w:tcPr>
          <w:p>
            <w:pPr>
              <w:adjustRightInd w:val="0"/>
              <w:snapToGrid w:val="0"/>
              <w:jc w:val="center"/>
              <w:rPr>
                <w:sz w:val="20"/>
                <w:szCs w:val="20"/>
              </w:rPr>
            </w:pPr>
            <w:r>
              <w:rPr>
                <w:rFonts w:hint="eastAsia"/>
                <w:sz w:val="20"/>
                <w:szCs w:val="20"/>
              </w:rPr>
              <w:t>17.93万元/人</w:t>
            </w:r>
          </w:p>
        </w:tc>
        <w:tc>
          <w:tcPr>
            <w:tcW w:w="877" w:type="dxa"/>
            <w:vAlign w:val="center"/>
          </w:tcPr>
          <w:p>
            <w:pPr>
              <w:adjustRightInd w:val="0"/>
              <w:snapToGrid w:val="0"/>
              <w:jc w:val="center"/>
              <w:rPr>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高层次人才科研平台配套资助</w:t>
            </w:r>
          </w:p>
        </w:tc>
        <w:tc>
          <w:tcPr>
            <w:tcW w:w="1577" w:type="dxa"/>
            <w:gridSpan w:val="2"/>
            <w:vAlign w:val="center"/>
          </w:tcPr>
          <w:p>
            <w:pPr>
              <w:adjustRightInd w:val="0"/>
              <w:snapToGrid w:val="0"/>
              <w:jc w:val="center"/>
              <w:rPr>
                <w:sz w:val="20"/>
                <w:szCs w:val="20"/>
              </w:rPr>
            </w:pPr>
            <w:r>
              <w:rPr>
                <w:rFonts w:hint="eastAsia"/>
                <w:sz w:val="20"/>
                <w:szCs w:val="20"/>
              </w:rPr>
              <w:t>10-50万元/人</w:t>
            </w:r>
          </w:p>
        </w:tc>
        <w:tc>
          <w:tcPr>
            <w:tcW w:w="1394" w:type="dxa"/>
            <w:gridSpan w:val="3"/>
            <w:vAlign w:val="center"/>
          </w:tcPr>
          <w:p>
            <w:pPr>
              <w:adjustRightInd w:val="0"/>
              <w:snapToGrid w:val="0"/>
              <w:jc w:val="center"/>
              <w:rPr>
                <w:sz w:val="20"/>
                <w:szCs w:val="20"/>
              </w:rPr>
            </w:pPr>
            <w:r>
              <w:rPr>
                <w:rFonts w:hint="eastAsia"/>
                <w:sz w:val="20"/>
                <w:szCs w:val="20"/>
              </w:rPr>
              <w:t>25.67万元/人</w:t>
            </w:r>
          </w:p>
        </w:tc>
        <w:tc>
          <w:tcPr>
            <w:tcW w:w="877" w:type="dxa"/>
            <w:vAlign w:val="center"/>
          </w:tcPr>
          <w:p>
            <w:pPr>
              <w:adjustRightInd w:val="0"/>
              <w:snapToGrid w:val="0"/>
              <w:jc w:val="center"/>
              <w:rPr>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sz w:val="20"/>
                <w:szCs w:val="20"/>
              </w:rPr>
            </w:pPr>
            <w:r>
              <w:rPr>
                <w:rFonts w:hint="eastAsia"/>
                <w:sz w:val="20"/>
                <w:szCs w:val="20"/>
              </w:rPr>
              <w:t>三峡大学水电楼电梯更新工程投资控制合格率</w:t>
            </w:r>
          </w:p>
        </w:tc>
        <w:tc>
          <w:tcPr>
            <w:tcW w:w="1577" w:type="dxa"/>
            <w:gridSpan w:val="2"/>
            <w:vAlign w:val="center"/>
          </w:tcPr>
          <w:p>
            <w:pPr>
              <w:adjustRightInd w:val="0"/>
              <w:snapToGrid w:val="0"/>
              <w:jc w:val="center"/>
              <w:rPr>
                <w:sz w:val="20"/>
                <w:szCs w:val="20"/>
              </w:rPr>
            </w:pPr>
            <w:r>
              <w:rPr>
                <w:sz w:val="20"/>
                <w:szCs w:val="20"/>
              </w:rPr>
              <w:t>5%</w:t>
            </w:r>
          </w:p>
        </w:tc>
        <w:tc>
          <w:tcPr>
            <w:tcW w:w="1394" w:type="dxa"/>
            <w:gridSpan w:val="3"/>
            <w:vAlign w:val="center"/>
          </w:tcPr>
          <w:p>
            <w:pPr>
              <w:adjustRightInd w:val="0"/>
              <w:snapToGrid w:val="0"/>
              <w:jc w:val="center"/>
              <w:rPr>
                <w:sz w:val="20"/>
                <w:szCs w:val="20"/>
              </w:rPr>
            </w:pPr>
            <w:r>
              <w:rPr>
                <w:rFonts w:hint="eastAsia"/>
                <w:sz w:val="20"/>
                <w:szCs w:val="20"/>
              </w:rPr>
              <w:t>资料不全</w:t>
            </w:r>
          </w:p>
        </w:tc>
        <w:tc>
          <w:tcPr>
            <w:tcW w:w="877" w:type="dxa"/>
            <w:vAlign w:val="center"/>
          </w:tcPr>
          <w:p>
            <w:pPr>
              <w:adjustRightInd w:val="0"/>
              <w:snapToGrid w:val="0"/>
              <w:jc w:val="center"/>
              <w:rPr>
                <w:sz w:val="20"/>
                <w:szCs w:val="20"/>
              </w:rPr>
            </w:pPr>
            <w:r>
              <w:rPr>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Merge w:val="continue"/>
            <w:vAlign w:val="center"/>
          </w:tcPr>
          <w:p>
            <w:pPr>
              <w:adjustRightInd w:val="0"/>
              <w:snapToGrid w:val="0"/>
              <w:jc w:val="center"/>
              <w:rPr>
                <w:rFonts w:ascii="宋体" w:hAnsi="宋体" w:eastAsia="宋体" w:cs="宋体"/>
                <w:sz w:val="20"/>
                <w:szCs w:val="20"/>
              </w:rPr>
            </w:pPr>
          </w:p>
        </w:tc>
        <w:tc>
          <w:tcPr>
            <w:tcW w:w="2651" w:type="dxa"/>
            <w:gridSpan w:val="3"/>
            <w:vAlign w:val="center"/>
          </w:tcPr>
          <w:p>
            <w:pPr>
              <w:adjustRightInd w:val="0"/>
              <w:snapToGrid w:val="0"/>
              <w:jc w:val="center"/>
              <w:rPr>
                <w:rFonts w:ascii="宋体" w:hAnsi="宋体" w:eastAsia="宋体" w:cs="宋体"/>
                <w:sz w:val="20"/>
                <w:szCs w:val="20"/>
              </w:rPr>
            </w:pPr>
            <w:r>
              <w:rPr>
                <w:rFonts w:hint="eastAsia"/>
                <w:sz w:val="20"/>
                <w:szCs w:val="20"/>
              </w:rPr>
              <w:t>三峡大学水电楼电梯更新工程、排水管道网详查项目质量按时完工率</w:t>
            </w:r>
          </w:p>
        </w:tc>
        <w:tc>
          <w:tcPr>
            <w:tcW w:w="1577" w:type="dxa"/>
            <w:gridSpan w:val="2"/>
            <w:vAlign w:val="center"/>
          </w:tcPr>
          <w:p>
            <w:pPr>
              <w:adjustRightInd w:val="0"/>
              <w:snapToGrid w:val="0"/>
              <w:jc w:val="center"/>
              <w:rPr>
                <w:rFonts w:ascii="宋体" w:hAnsi="宋体" w:eastAsia="宋体" w:cs="宋体"/>
                <w:sz w:val="20"/>
                <w:szCs w:val="20"/>
              </w:rPr>
            </w:pPr>
            <w:r>
              <w:rPr>
                <w:sz w:val="20"/>
                <w:szCs w:val="20"/>
              </w:rPr>
              <w:t>100%</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水电楼电梯更新工程资料不全、排水管道网详查项目尚未完工</w:t>
            </w:r>
          </w:p>
        </w:tc>
        <w:tc>
          <w:tcPr>
            <w:tcW w:w="877" w:type="dxa"/>
            <w:vAlign w:val="center"/>
          </w:tcPr>
          <w:p>
            <w:pPr>
              <w:adjustRightInd w:val="0"/>
              <w:snapToGrid w:val="0"/>
              <w:jc w:val="center"/>
              <w:rPr>
                <w:rFonts w:ascii="宋体" w:hAnsi="宋体" w:eastAsia="宋体" w:cs="宋体"/>
                <w:sz w:val="20"/>
                <w:szCs w:val="20"/>
              </w:rPr>
            </w:pPr>
            <w:r>
              <w:rPr>
                <w:sz w:val="20"/>
                <w:szCs w:val="20"/>
              </w:rPr>
              <w:t>0</w:t>
            </w:r>
          </w:p>
        </w:tc>
      </w:tr>
    </w:tbl>
    <w:p>
      <w:pPr>
        <w:spacing w:line="460" w:lineRule="exact"/>
        <w:ind w:firstLine="5280" w:firstLineChars="2200"/>
        <w:rPr>
          <w:rFonts w:asciiTheme="minorEastAsia" w:hAnsiTheme="minorEastAsia" w:eastAsiaTheme="minorEastAsia" w:cstheme="minorEastAsia"/>
          <w:bCs/>
          <w:sz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991" w:y="124"/>
      <w:jc w:val="center"/>
      <w:rPr>
        <w:rStyle w:val="13"/>
        <w:rFonts w:ascii="隶书" w:eastAsia="隶书"/>
        <w:b/>
        <w:sz w:val="21"/>
        <w:szCs w:val="21"/>
      </w:rPr>
    </w:pPr>
    <w:r>
      <w:rPr>
        <w:rStyle w:val="13"/>
        <w:rFonts w:hint="eastAsia"/>
        <w:b/>
        <w:sz w:val="21"/>
        <w:szCs w:val="21"/>
      </w:rPr>
      <w:t>-</w:t>
    </w:r>
    <w:r>
      <w:rPr>
        <w:b/>
        <w:sz w:val="21"/>
        <w:szCs w:val="21"/>
      </w:rPr>
      <w:fldChar w:fldCharType="begin"/>
    </w:r>
    <w:r>
      <w:rPr>
        <w:rStyle w:val="13"/>
        <w:b/>
        <w:sz w:val="21"/>
        <w:szCs w:val="21"/>
      </w:rPr>
      <w:instrText xml:space="preserve">PAGE  </w:instrText>
    </w:r>
    <w:r>
      <w:rPr>
        <w:b/>
        <w:sz w:val="21"/>
        <w:szCs w:val="21"/>
      </w:rPr>
      <w:fldChar w:fldCharType="separate"/>
    </w:r>
    <w:r>
      <w:rPr>
        <w:rStyle w:val="13"/>
        <w:b/>
        <w:sz w:val="21"/>
        <w:szCs w:val="21"/>
      </w:rPr>
      <w:t>- 13 -</w:t>
    </w:r>
    <w:r>
      <w:rPr>
        <w:b/>
        <w:sz w:val="21"/>
        <w:szCs w:val="21"/>
      </w:rPr>
      <w:fldChar w:fldCharType="end"/>
    </w:r>
    <w:r>
      <w:rPr>
        <w:rStyle w:val="13"/>
        <w:rFonts w:hint="eastAsia"/>
        <w:b/>
        <w:sz w:val="21"/>
        <w:szCs w:val="21"/>
      </w:rPr>
      <w:t>-</w:t>
    </w:r>
  </w:p>
  <w:sdt>
    <w:sdtPr>
      <w:id w:val="23419459"/>
    </w:sdtPr>
    <w:sdtEndPr>
      <w:rPr>
        <w:rFonts w:ascii="宋体" w:hAnsi="宋体" w:eastAsia="宋体"/>
        <w:b/>
        <w:sz w:val="21"/>
        <w:szCs w:val="21"/>
      </w:rPr>
    </w:sdtEndPr>
    <w:sdtContent>
      <w:p>
        <w:pPr>
          <w:pStyle w:val="6"/>
          <w:tabs>
            <w:tab w:val="right" w:pos="8229"/>
            <w:tab w:val="clear" w:pos="4153"/>
            <w:tab w:val="clear" w:pos="8306"/>
          </w:tabs>
          <w:ind w:right="360"/>
          <w:rPr>
            <w:rFonts w:ascii="隶书" w:eastAsia="隶书"/>
            <w:b/>
            <w:position w:val="12"/>
            <w:sz w:val="21"/>
            <w:szCs w:val="21"/>
          </w:rPr>
        </w:pPr>
        <w:r>
          <w:rPr>
            <w:rFonts w:ascii="隶书" w:eastAsia="隶书"/>
          </w:rPr>
          <w:pict>
            <v:line id="直线 28" o:spid="_x0000_s4098" o:spt="20" style="position:absolute;left:0pt;margin-left:-10.5pt;margin-top:-3.75pt;height:0pt;width:456.75pt;z-index:251660288;mso-width-relative:page;mso-height-relative:page;" coordsize="21600,21600" o:gfxdata="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aEwFXWAAAACQEAAA8AAAAAAAAAAQAgAAAAIgAAAGRycy9kb3ducmV2LnhtbFBLAQIUABQA&#10;AAAIAIdO4kDZbP5RuQEAAFQDAAAOAAAAAAAAAAEAIAAAACUBAABkcnMvZTJvRG9jLnhtbFBLBQYA&#10;AAAABgAGAFkBAABQBQAAAAA=&#10;">
              <v:path arrowok="t"/>
              <v:fill focussize="0,0"/>
              <v:stroke/>
              <v:imagedata o:title=""/>
              <o:lock v:ext="edit"/>
            </v:line>
          </w:pict>
        </w:r>
        <w:r>
          <w:rPr>
            <w:rFonts w:hint="eastAsia" w:ascii="隶书" w:eastAsia="隶书"/>
          </w:rPr>
          <w:object>
            <v:shape id="_x0000_i1025" o:spt="75" type="#_x0000_t75" style="height:21.5pt;width:21.5pt;" o:ole="t" fillcolor="#6D6D6D" filled="f" o:preferrelative="t" stroked="f" coordsize="21600,21600">
              <v:path/>
              <v:fill on="f" focussize="0,0"/>
              <v:stroke on="f" joinstyle="miter"/>
              <v:imagedata r:id="rId2" o:title=""/>
              <o:lock v:ext="edit" aspectratio="t"/>
              <w10:wrap type="none"/>
              <w10:anchorlock/>
            </v:shape>
            <o:OLEObject Type="Embed" ProgID="CorelDRAW.Graphic.9" ShapeID="_x0000_i1025" DrawAspect="Content" ObjectID="_1468075725" r:id="rId1">
              <o:LockedField>false</o:LockedField>
            </o:OLEObject>
          </w:object>
        </w:r>
        <w:r>
          <w:rPr>
            <w:rFonts w:hint="eastAsia" w:ascii="隶书" w:eastAsia="隶书"/>
            <w:b/>
            <w:position w:val="12"/>
            <w:sz w:val="21"/>
            <w:szCs w:val="21"/>
          </w:rPr>
          <w:t>湖北众证会计师事务有限责任公司</w:t>
        </w:r>
      </w:p>
      <w:p>
        <w:pPr>
          <w:pStyle w:val="6"/>
          <w:tabs>
            <w:tab w:val="right" w:pos="8229"/>
            <w:tab w:val="clear" w:pos="4153"/>
            <w:tab w:val="clear" w:pos="8306"/>
          </w:tabs>
          <w:ind w:right="360"/>
          <w:rPr>
            <w:rFonts w:ascii="隶书" w:eastAsia="隶书"/>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ascii="隶书" w:hAnsi="宋体" w:eastAsia="隶书"/>
        <w:b/>
        <w:bCs/>
        <w:iCs/>
        <w:sz w:val="21"/>
        <w:szCs w:val="21"/>
      </w:rPr>
      <w:t>三峡大学2018年“高等教育综合奖补”专项绩效评价报告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8E7C"/>
    <w:multiLevelType w:val="singleLevel"/>
    <w:tmpl w:val="324B8E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227C6"/>
    <w:rsid w:val="0000118C"/>
    <w:rsid w:val="000044AE"/>
    <w:rsid w:val="00004D18"/>
    <w:rsid w:val="00012809"/>
    <w:rsid w:val="00017D12"/>
    <w:rsid w:val="000327AA"/>
    <w:rsid w:val="00043764"/>
    <w:rsid w:val="00046528"/>
    <w:rsid w:val="000472AB"/>
    <w:rsid w:val="00057F25"/>
    <w:rsid w:val="00071FE9"/>
    <w:rsid w:val="00083E75"/>
    <w:rsid w:val="00096D7E"/>
    <w:rsid w:val="000A33B2"/>
    <w:rsid w:val="000A4425"/>
    <w:rsid w:val="000A7C46"/>
    <w:rsid w:val="000B1A49"/>
    <w:rsid w:val="000B2D47"/>
    <w:rsid w:val="000E1F48"/>
    <w:rsid w:val="000F2E19"/>
    <w:rsid w:val="00112385"/>
    <w:rsid w:val="001153DD"/>
    <w:rsid w:val="00126FD6"/>
    <w:rsid w:val="00131E66"/>
    <w:rsid w:val="00141411"/>
    <w:rsid w:val="00142B8E"/>
    <w:rsid w:val="00146920"/>
    <w:rsid w:val="00153394"/>
    <w:rsid w:val="00170C21"/>
    <w:rsid w:val="001744C6"/>
    <w:rsid w:val="00176231"/>
    <w:rsid w:val="00193D4C"/>
    <w:rsid w:val="00195967"/>
    <w:rsid w:val="00195B3E"/>
    <w:rsid w:val="001A2907"/>
    <w:rsid w:val="001A78CF"/>
    <w:rsid w:val="001B4738"/>
    <w:rsid w:val="001C174C"/>
    <w:rsid w:val="001C4C19"/>
    <w:rsid w:val="001C5159"/>
    <w:rsid w:val="001C73F1"/>
    <w:rsid w:val="001D1FED"/>
    <w:rsid w:val="001D2C98"/>
    <w:rsid w:val="001D3EC3"/>
    <w:rsid w:val="001D5502"/>
    <w:rsid w:val="001F2EF3"/>
    <w:rsid w:val="002365D7"/>
    <w:rsid w:val="002458A8"/>
    <w:rsid w:val="002475E8"/>
    <w:rsid w:val="002554C6"/>
    <w:rsid w:val="00260DFB"/>
    <w:rsid w:val="00270ACF"/>
    <w:rsid w:val="00270EA4"/>
    <w:rsid w:val="002735A7"/>
    <w:rsid w:val="002737E1"/>
    <w:rsid w:val="00274293"/>
    <w:rsid w:val="0027517D"/>
    <w:rsid w:val="00276D83"/>
    <w:rsid w:val="00277236"/>
    <w:rsid w:val="00291427"/>
    <w:rsid w:val="002A303E"/>
    <w:rsid w:val="002B7809"/>
    <w:rsid w:val="002D0D43"/>
    <w:rsid w:val="002D470C"/>
    <w:rsid w:val="002D47B5"/>
    <w:rsid w:val="002D5E84"/>
    <w:rsid w:val="002F03D1"/>
    <w:rsid w:val="00304399"/>
    <w:rsid w:val="0030518C"/>
    <w:rsid w:val="0030653A"/>
    <w:rsid w:val="0031352A"/>
    <w:rsid w:val="003155E9"/>
    <w:rsid w:val="0032137C"/>
    <w:rsid w:val="003227C6"/>
    <w:rsid w:val="00354A30"/>
    <w:rsid w:val="0038594D"/>
    <w:rsid w:val="003878D3"/>
    <w:rsid w:val="0039378E"/>
    <w:rsid w:val="00397206"/>
    <w:rsid w:val="003A7D9E"/>
    <w:rsid w:val="003B585C"/>
    <w:rsid w:val="003B70F0"/>
    <w:rsid w:val="003B7563"/>
    <w:rsid w:val="003C4138"/>
    <w:rsid w:val="003C67C8"/>
    <w:rsid w:val="003C7F3D"/>
    <w:rsid w:val="003D7D19"/>
    <w:rsid w:val="003E2D58"/>
    <w:rsid w:val="003E391A"/>
    <w:rsid w:val="003E4A18"/>
    <w:rsid w:val="00402277"/>
    <w:rsid w:val="00403093"/>
    <w:rsid w:val="00403178"/>
    <w:rsid w:val="00412DEC"/>
    <w:rsid w:val="004164E7"/>
    <w:rsid w:val="004222D3"/>
    <w:rsid w:val="00426CFA"/>
    <w:rsid w:val="00437FCB"/>
    <w:rsid w:val="0044158E"/>
    <w:rsid w:val="0044417F"/>
    <w:rsid w:val="004456D3"/>
    <w:rsid w:val="004518D7"/>
    <w:rsid w:val="0045244A"/>
    <w:rsid w:val="00480CAE"/>
    <w:rsid w:val="00495029"/>
    <w:rsid w:val="004A41DA"/>
    <w:rsid w:val="004B3B5F"/>
    <w:rsid w:val="004B57C8"/>
    <w:rsid w:val="004B5863"/>
    <w:rsid w:val="004C473C"/>
    <w:rsid w:val="004C497A"/>
    <w:rsid w:val="004D090A"/>
    <w:rsid w:val="004D5529"/>
    <w:rsid w:val="004E1602"/>
    <w:rsid w:val="004E6337"/>
    <w:rsid w:val="004E7E93"/>
    <w:rsid w:val="004F1651"/>
    <w:rsid w:val="004F4B1F"/>
    <w:rsid w:val="004F6311"/>
    <w:rsid w:val="00500652"/>
    <w:rsid w:val="005050AF"/>
    <w:rsid w:val="005050FB"/>
    <w:rsid w:val="00505EDE"/>
    <w:rsid w:val="0051205D"/>
    <w:rsid w:val="00525D49"/>
    <w:rsid w:val="00527F39"/>
    <w:rsid w:val="00543223"/>
    <w:rsid w:val="0054350D"/>
    <w:rsid w:val="00545F89"/>
    <w:rsid w:val="005756B1"/>
    <w:rsid w:val="005A711C"/>
    <w:rsid w:val="005C0867"/>
    <w:rsid w:val="005C25F4"/>
    <w:rsid w:val="005C3E9A"/>
    <w:rsid w:val="005C68D0"/>
    <w:rsid w:val="005D3DE2"/>
    <w:rsid w:val="005E78BC"/>
    <w:rsid w:val="005F2AAD"/>
    <w:rsid w:val="005F6083"/>
    <w:rsid w:val="00603D7E"/>
    <w:rsid w:val="00606B04"/>
    <w:rsid w:val="00610025"/>
    <w:rsid w:val="0062536F"/>
    <w:rsid w:val="00625940"/>
    <w:rsid w:val="00626331"/>
    <w:rsid w:val="006313DD"/>
    <w:rsid w:val="00637E90"/>
    <w:rsid w:val="00643B43"/>
    <w:rsid w:val="00644794"/>
    <w:rsid w:val="00647EF5"/>
    <w:rsid w:val="006517FB"/>
    <w:rsid w:val="006545E8"/>
    <w:rsid w:val="006750E0"/>
    <w:rsid w:val="00692227"/>
    <w:rsid w:val="006A7519"/>
    <w:rsid w:val="006B19B3"/>
    <w:rsid w:val="006B4436"/>
    <w:rsid w:val="006B5B66"/>
    <w:rsid w:val="006B5E0D"/>
    <w:rsid w:val="006B7AF0"/>
    <w:rsid w:val="006C3266"/>
    <w:rsid w:val="006C4CAA"/>
    <w:rsid w:val="006C6037"/>
    <w:rsid w:val="006D34D3"/>
    <w:rsid w:val="006D7F29"/>
    <w:rsid w:val="006E2DAD"/>
    <w:rsid w:val="006F12BE"/>
    <w:rsid w:val="006F13DB"/>
    <w:rsid w:val="0071583B"/>
    <w:rsid w:val="007233FE"/>
    <w:rsid w:val="00725AB8"/>
    <w:rsid w:val="00736539"/>
    <w:rsid w:val="00744370"/>
    <w:rsid w:val="007676A0"/>
    <w:rsid w:val="00773515"/>
    <w:rsid w:val="00780CCF"/>
    <w:rsid w:val="00783375"/>
    <w:rsid w:val="007924CD"/>
    <w:rsid w:val="007A762D"/>
    <w:rsid w:val="007B160E"/>
    <w:rsid w:val="007B20D1"/>
    <w:rsid w:val="007C2A33"/>
    <w:rsid w:val="007C4524"/>
    <w:rsid w:val="007C646F"/>
    <w:rsid w:val="007D21AF"/>
    <w:rsid w:val="007D5840"/>
    <w:rsid w:val="0080378F"/>
    <w:rsid w:val="00805206"/>
    <w:rsid w:val="0081068E"/>
    <w:rsid w:val="00811E83"/>
    <w:rsid w:val="0082004B"/>
    <w:rsid w:val="00821BAD"/>
    <w:rsid w:val="008230D9"/>
    <w:rsid w:val="00836306"/>
    <w:rsid w:val="008421AE"/>
    <w:rsid w:val="00855323"/>
    <w:rsid w:val="0087055D"/>
    <w:rsid w:val="00871447"/>
    <w:rsid w:val="00880281"/>
    <w:rsid w:val="008824A6"/>
    <w:rsid w:val="00885295"/>
    <w:rsid w:val="008A1FE5"/>
    <w:rsid w:val="008B33F7"/>
    <w:rsid w:val="008B4299"/>
    <w:rsid w:val="008B53EE"/>
    <w:rsid w:val="008C024F"/>
    <w:rsid w:val="008C1DC4"/>
    <w:rsid w:val="008D1783"/>
    <w:rsid w:val="008E002A"/>
    <w:rsid w:val="00917556"/>
    <w:rsid w:val="009369AD"/>
    <w:rsid w:val="00937E30"/>
    <w:rsid w:val="0094515B"/>
    <w:rsid w:val="0094542E"/>
    <w:rsid w:val="009463E6"/>
    <w:rsid w:val="009701A0"/>
    <w:rsid w:val="00970DCD"/>
    <w:rsid w:val="00970F3B"/>
    <w:rsid w:val="00976610"/>
    <w:rsid w:val="0098245D"/>
    <w:rsid w:val="009907EF"/>
    <w:rsid w:val="00996DB8"/>
    <w:rsid w:val="009A0059"/>
    <w:rsid w:val="009A1266"/>
    <w:rsid w:val="009A27AB"/>
    <w:rsid w:val="009B04C5"/>
    <w:rsid w:val="009B7893"/>
    <w:rsid w:val="009C738A"/>
    <w:rsid w:val="009C7542"/>
    <w:rsid w:val="009D2A7E"/>
    <w:rsid w:val="009D50A4"/>
    <w:rsid w:val="009E0E47"/>
    <w:rsid w:val="009E1F8F"/>
    <w:rsid w:val="009E4021"/>
    <w:rsid w:val="009F1FAE"/>
    <w:rsid w:val="009F52FE"/>
    <w:rsid w:val="00A039AB"/>
    <w:rsid w:val="00A15887"/>
    <w:rsid w:val="00A22D70"/>
    <w:rsid w:val="00A37140"/>
    <w:rsid w:val="00A435DC"/>
    <w:rsid w:val="00A44ED9"/>
    <w:rsid w:val="00A524B2"/>
    <w:rsid w:val="00A62116"/>
    <w:rsid w:val="00A6457B"/>
    <w:rsid w:val="00A650BD"/>
    <w:rsid w:val="00A65846"/>
    <w:rsid w:val="00A74535"/>
    <w:rsid w:val="00A82062"/>
    <w:rsid w:val="00A82E28"/>
    <w:rsid w:val="00A83462"/>
    <w:rsid w:val="00A873A0"/>
    <w:rsid w:val="00A9061F"/>
    <w:rsid w:val="00A9343E"/>
    <w:rsid w:val="00AB4ED7"/>
    <w:rsid w:val="00AC0888"/>
    <w:rsid w:val="00AC1584"/>
    <w:rsid w:val="00AC34EB"/>
    <w:rsid w:val="00AC6BCB"/>
    <w:rsid w:val="00AD2434"/>
    <w:rsid w:val="00AD645B"/>
    <w:rsid w:val="00AD7EE6"/>
    <w:rsid w:val="00AF30FD"/>
    <w:rsid w:val="00AF4904"/>
    <w:rsid w:val="00AF4B56"/>
    <w:rsid w:val="00B008D8"/>
    <w:rsid w:val="00B0735D"/>
    <w:rsid w:val="00B16954"/>
    <w:rsid w:val="00B16E11"/>
    <w:rsid w:val="00B21E48"/>
    <w:rsid w:val="00B35399"/>
    <w:rsid w:val="00B37E66"/>
    <w:rsid w:val="00B44205"/>
    <w:rsid w:val="00B47BEF"/>
    <w:rsid w:val="00B504AE"/>
    <w:rsid w:val="00B51A78"/>
    <w:rsid w:val="00B722A2"/>
    <w:rsid w:val="00B73419"/>
    <w:rsid w:val="00B82EDC"/>
    <w:rsid w:val="00B83B23"/>
    <w:rsid w:val="00B85996"/>
    <w:rsid w:val="00B86C32"/>
    <w:rsid w:val="00BA2ED0"/>
    <w:rsid w:val="00BA3026"/>
    <w:rsid w:val="00BA63A3"/>
    <w:rsid w:val="00BA7FD3"/>
    <w:rsid w:val="00BB24BC"/>
    <w:rsid w:val="00BB56F5"/>
    <w:rsid w:val="00BB7369"/>
    <w:rsid w:val="00BC079D"/>
    <w:rsid w:val="00BC2F6F"/>
    <w:rsid w:val="00BF39EF"/>
    <w:rsid w:val="00BF6AE8"/>
    <w:rsid w:val="00BF794F"/>
    <w:rsid w:val="00C026F0"/>
    <w:rsid w:val="00C15C61"/>
    <w:rsid w:val="00C242A1"/>
    <w:rsid w:val="00C3056C"/>
    <w:rsid w:val="00C30A79"/>
    <w:rsid w:val="00C43CDC"/>
    <w:rsid w:val="00C4430B"/>
    <w:rsid w:val="00C445A5"/>
    <w:rsid w:val="00C67FEB"/>
    <w:rsid w:val="00C7455D"/>
    <w:rsid w:val="00CA4E5F"/>
    <w:rsid w:val="00CC11EC"/>
    <w:rsid w:val="00CC63A4"/>
    <w:rsid w:val="00CD6C62"/>
    <w:rsid w:val="00CD73C4"/>
    <w:rsid w:val="00CE7D3B"/>
    <w:rsid w:val="00CF4767"/>
    <w:rsid w:val="00CF56FD"/>
    <w:rsid w:val="00D01BD0"/>
    <w:rsid w:val="00D064BF"/>
    <w:rsid w:val="00D12AC0"/>
    <w:rsid w:val="00D226CF"/>
    <w:rsid w:val="00D26AD0"/>
    <w:rsid w:val="00D34BD2"/>
    <w:rsid w:val="00D57A51"/>
    <w:rsid w:val="00D60E2B"/>
    <w:rsid w:val="00D634FF"/>
    <w:rsid w:val="00D65C24"/>
    <w:rsid w:val="00D66925"/>
    <w:rsid w:val="00D712C1"/>
    <w:rsid w:val="00D713D3"/>
    <w:rsid w:val="00D715B2"/>
    <w:rsid w:val="00D860D8"/>
    <w:rsid w:val="00D91584"/>
    <w:rsid w:val="00D97413"/>
    <w:rsid w:val="00D97C83"/>
    <w:rsid w:val="00DA22D7"/>
    <w:rsid w:val="00DC16DF"/>
    <w:rsid w:val="00DC5443"/>
    <w:rsid w:val="00DC556F"/>
    <w:rsid w:val="00DD47CA"/>
    <w:rsid w:val="00DE259E"/>
    <w:rsid w:val="00DE4FAF"/>
    <w:rsid w:val="00E01C24"/>
    <w:rsid w:val="00E03109"/>
    <w:rsid w:val="00E0430D"/>
    <w:rsid w:val="00E10635"/>
    <w:rsid w:val="00E116E8"/>
    <w:rsid w:val="00E11D88"/>
    <w:rsid w:val="00E40A93"/>
    <w:rsid w:val="00E4265E"/>
    <w:rsid w:val="00E444C4"/>
    <w:rsid w:val="00E56A13"/>
    <w:rsid w:val="00E62775"/>
    <w:rsid w:val="00E6520D"/>
    <w:rsid w:val="00E7132B"/>
    <w:rsid w:val="00E73E2C"/>
    <w:rsid w:val="00E757AF"/>
    <w:rsid w:val="00E83C5C"/>
    <w:rsid w:val="00E86E88"/>
    <w:rsid w:val="00EA0078"/>
    <w:rsid w:val="00EB179D"/>
    <w:rsid w:val="00EC460E"/>
    <w:rsid w:val="00EC69CD"/>
    <w:rsid w:val="00ED091E"/>
    <w:rsid w:val="00ED325B"/>
    <w:rsid w:val="00EE2F3C"/>
    <w:rsid w:val="00EF23BA"/>
    <w:rsid w:val="00EF478C"/>
    <w:rsid w:val="00F02F3B"/>
    <w:rsid w:val="00F15026"/>
    <w:rsid w:val="00F16BCB"/>
    <w:rsid w:val="00F16C8F"/>
    <w:rsid w:val="00F24807"/>
    <w:rsid w:val="00F41E2D"/>
    <w:rsid w:val="00F43125"/>
    <w:rsid w:val="00F5430F"/>
    <w:rsid w:val="00F57E5D"/>
    <w:rsid w:val="00F604B4"/>
    <w:rsid w:val="00F62C65"/>
    <w:rsid w:val="00F63212"/>
    <w:rsid w:val="00F927BA"/>
    <w:rsid w:val="00F92D43"/>
    <w:rsid w:val="00F94547"/>
    <w:rsid w:val="00F94F8C"/>
    <w:rsid w:val="00FB279C"/>
    <w:rsid w:val="00FC48D6"/>
    <w:rsid w:val="00FC6212"/>
    <w:rsid w:val="00FD1C7C"/>
    <w:rsid w:val="00FD70BC"/>
    <w:rsid w:val="00FE27D5"/>
    <w:rsid w:val="00FE5E75"/>
    <w:rsid w:val="00FE7C54"/>
    <w:rsid w:val="00FE7D9C"/>
    <w:rsid w:val="00FF2472"/>
    <w:rsid w:val="0207285E"/>
    <w:rsid w:val="026C48FB"/>
    <w:rsid w:val="03FF4546"/>
    <w:rsid w:val="051969F7"/>
    <w:rsid w:val="077770A2"/>
    <w:rsid w:val="0BE26655"/>
    <w:rsid w:val="0D4D7160"/>
    <w:rsid w:val="0D893875"/>
    <w:rsid w:val="0FE23AAB"/>
    <w:rsid w:val="10B260EA"/>
    <w:rsid w:val="11224EB2"/>
    <w:rsid w:val="11252B2B"/>
    <w:rsid w:val="11424F28"/>
    <w:rsid w:val="13245086"/>
    <w:rsid w:val="1369273E"/>
    <w:rsid w:val="167E5148"/>
    <w:rsid w:val="179E48C5"/>
    <w:rsid w:val="18AA5506"/>
    <w:rsid w:val="18CA060F"/>
    <w:rsid w:val="1974400D"/>
    <w:rsid w:val="1A3620C0"/>
    <w:rsid w:val="1B314E80"/>
    <w:rsid w:val="1D73307E"/>
    <w:rsid w:val="1D77021E"/>
    <w:rsid w:val="1F4E6A9B"/>
    <w:rsid w:val="22746A62"/>
    <w:rsid w:val="24BB68D3"/>
    <w:rsid w:val="24E773D6"/>
    <w:rsid w:val="2589359D"/>
    <w:rsid w:val="27853DD9"/>
    <w:rsid w:val="27A15C12"/>
    <w:rsid w:val="2B160C48"/>
    <w:rsid w:val="2C674EA0"/>
    <w:rsid w:val="2EA60E8B"/>
    <w:rsid w:val="30347688"/>
    <w:rsid w:val="30557CB8"/>
    <w:rsid w:val="31283E09"/>
    <w:rsid w:val="31CC59A9"/>
    <w:rsid w:val="320346AB"/>
    <w:rsid w:val="32A65184"/>
    <w:rsid w:val="34F53207"/>
    <w:rsid w:val="35984ACB"/>
    <w:rsid w:val="36B37EFA"/>
    <w:rsid w:val="373A11BF"/>
    <w:rsid w:val="398F4D42"/>
    <w:rsid w:val="3A5E2CE3"/>
    <w:rsid w:val="3BDE104B"/>
    <w:rsid w:val="3DDF297F"/>
    <w:rsid w:val="4470192E"/>
    <w:rsid w:val="45695CFC"/>
    <w:rsid w:val="45F47D1D"/>
    <w:rsid w:val="463E22D5"/>
    <w:rsid w:val="482758EC"/>
    <w:rsid w:val="49272BE8"/>
    <w:rsid w:val="49B9022F"/>
    <w:rsid w:val="4FA73457"/>
    <w:rsid w:val="50A22BAF"/>
    <w:rsid w:val="54473D4F"/>
    <w:rsid w:val="572441E4"/>
    <w:rsid w:val="57F61A51"/>
    <w:rsid w:val="58571A81"/>
    <w:rsid w:val="5905176F"/>
    <w:rsid w:val="5919599C"/>
    <w:rsid w:val="5A2867AA"/>
    <w:rsid w:val="5AC23F46"/>
    <w:rsid w:val="5C46652B"/>
    <w:rsid w:val="5E647CF5"/>
    <w:rsid w:val="5E887950"/>
    <w:rsid w:val="5F34042F"/>
    <w:rsid w:val="63351345"/>
    <w:rsid w:val="64E723E6"/>
    <w:rsid w:val="651D731E"/>
    <w:rsid w:val="67E96E1F"/>
    <w:rsid w:val="68A071B5"/>
    <w:rsid w:val="69AA3DE2"/>
    <w:rsid w:val="6BAC41F9"/>
    <w:rsid w:val="6BBB13CC"/>
    <w:rsid w:val="6DA8353A"/>
    <w:rsid w:val="6E1C1FC2"/>
    <w:rsid w:val="70261EE0"/>
    <w:rsid w:val="71F111BA"/>
    <w:rsid w:val="72A62C30"/>
    <w:rsid w:val="72C773C0"/>
    <w:rsid w:val="75BD0A7E"/>
    <w:rsid w:val="75BF7AF0"/>
    <w:rsid w:val="766935E9"/>
    <w:rsid w:val="76E97F15"/>
    <w:rsid w:val="78E443E7"/>
    <w:rsid w:val="7B5B4789"/>
    <w:rsid w:val="7B9417A0"/>
    <w:rsid w:val="7E3234A4"/>
    <w:rsid w:val="7F966FAE"/>
    <w:rsid w:val="7FDA40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qFormat/>
    <w:uiPriority w:val="0"/>
    <w:pPr>
      <w:keepNext/>
      <w:keepLines/>
      <w:widowControl/>
      <w:adjustRightInd w:val="0"/>
      <w:spacing w:after="60" w:line="360" w:lineRule="atLeast"/>
      <w:ind w:firstLine="454"/>
      <w:textAlignment w:val="baseline"/>
      <w:outlineLvl w:val="1"/>
    </w:pPr>
    <w:rPr>
      <w:rFonts w:eastAsia="黑体"/>
      <w:kern w:val="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3"/>
    <w:unhideWhenUsed/>
    <w:qFormat/>
    <w:uiPriority w:val="99"/>
    <w:pPr>
      <w:jc w:val="left"/>
    </w:pPr>
    <w:rPr>
      <w:rFonts w:eastAsia="宋体"/>
      <w:sz w:val="21"/>
    </w:rPr>
  </w:style>
  <w:style w:type="paragraph" w:styleId="4">
    <w:name w:val="Date"/>
    <w:basedOn w:val="1"/>
    <w:next w:val="1"/>
    <w:link w:val="26"/>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HTML 预设格式 Char"/>
    <w:basedOn w:val="12"/>
    <w:link w:val="8"/>
    <w:qFormat/>
    <w:uiPriority w:val="99"/>
    <w:rPr>
      <w:rFonts w:ascii="宋体" w:hAnsi="宋体" w:cs="宋体"/>
      <w:sz w:val="24"/>
      <w:szCs w:val="24"/>
    </w:rPr>
  </w:style>
  <w:style w:type="character" w:customStyle="1" w:styleId="20">
    <w:name w:val="批注框文本 Char"/>
    <w:basedOn w:val="12"/>
    <w:link w:val="5"/>
    <w:semiHidden/>
    <w:qFormat/>
    <w:uiPriority w:val="99"/>
    <w:rPr>
      <w:rFonts w:eastAsia="仿宋_GB2312"/>
      <w:kern w:val="2"/>
      <w:sz w:val="18"/>
      <w:szCs w:val="18"/>
    </w:rPr>
  </w:style>
  <w:style w:type="paragraph" w:styleId="21">
    <w:name w:val="No Spacing"/>
    <w:link w:val="22"/>
    <w:qFormat/>
    <w:uiPriority w:val="1"/>
    <w:rPr>
      <w:rFonts w:asciiTheme="minorHAnsi" w:hAnsiTheme="minorHAnsi" w:eastAsiaTheme="minorEastAsia" w:cstheme="minorBidi"/>
      <w:sz w:val="22"/>
      <w:szCs w:val="22"/>
      <w:lang w:val="en-US" w:eastAsia="zh-CN" w:bidi="ar-SA"/>
    </w:rPr>
  </w:style>
  <w:style w:type="character" w:customStyle="1" w:styleId="22">
    <w:name w:val="无间隔 Char"/>
    <w:basedOn w:val="12"/>
    <w:link w:val="21"/>
    <w:qFormat/>
    <w:uiPriority w:val="1"/>
    <w:rPr>
      <w:rFonts w:asciiTheme="minorHAnsi" w:hAnsiTheme="minorHAnsi" w:eastAsiaTheme="minorEastAsia" w:cstheme="minorBidi"/>
      <w:sz w:val="22"/>
      <w:szCs w:val="22"/>
    </w:rPr>
  </w:style>
  <w:style w:type="character" w:customStyle="1" w:styleId="23">
    <w:name w:val="批注文字 Char"/>
    <w:basedOn w:val="12"/>
    <w:link w:val="3"/>
    <w:uiPriority w:val="99"/>
    <w:rPr>
      <w:rFonts w:ascii="Times New Roman" w:hAnsi="Times New Roman"/>
      <w:kern w:val="2"/>
      <w:sz w:val="21"/>
      <w:szCs w:val="24"/>
    </w:rPr>
  </w:style>
  <w:style w:type="paragraph" w:customStyle="1" w:styleId="24">
    <w:name w:val="样式4"/>
    <w:basedOn w:val="1"/>
    <w:link w:val="25"/>
    <w:qFormat/>
    <w:uiPriority w:val="0"/>
    <w:pPr>
      <w:spacing w:line="360" w:lineRule="auto"/>
      <w:ind w:firstLine="480" w:firstLineChars="200"/>
      <w:jc w:val="left"/>
    </w:pPr>
    <w:rPr>
      <w:rFonts w:ascii="宋体" w:hAnsi="宋体" w:eastAsia="宋体"/>
      <w:sz w:val="24"/>
    </w:rPr>
  </w:style>
  <w:style w:type="character" w:customStyle="1" w:styleId="25">
    <w:name w:val="样式4 Char"/>
    <w:basedOn w:val="12"/>
    <w:link w:val="24"/>
    <w:qFormat/>
    <w:uiPriority w:val="0"/>
    <w:rPr>
      <w:rFonts w:ascii="宋体" w:hAnsi="宋体"/>
      <w:kern w:val="2"/>
      <w:sz w:val="24"/>
      <w:szCs w:val="24"/>
    </w:rPr>
  </w:style>
  <w:style w:type="character" w:customStyle="1" w:styleId="26">
    <w:name w:val="日期 Char"/>
    <w:basedOn w:val="12"/>
    <w:link w:val="4"/>
    <w:semiHidden/>
    <w:uiPriority w:val="99"/>
    <w:rPr>
      <w:rFonts w:ascii="Times New Roman" w:hAnsi="Times New Roman" w:eastAsia="仿宋_GB2312"/>
      <w:kern w:val="2"/>
      <w:sz w:val="30"/>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E8BEE-FFF8-4998-9E2C-3E5686CA23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1497</Words>
  <Characters>8537</Characters>
  <Lines>71</Lines>
  <Paragraphs>20</Paragraphs>
  <TotalTime>27</TotalTime>
  <ScaleCrop>false</ScaleCrop>
  <LinksUpToDate>false</LinksUpToDate>
  <CharactersWithSpaces>10014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2019-05-18T03:27:00Z</dcterms:created>
  <dc:creator>冯妍妍/预算绩效管理处（行资处）/湖北省财政厅</dc:creator>
  <cp:lastModifiedBy>郭洁</cp:lastModifiedBy>
  <cp:lastPrinted>2019-05-28T02:36:00Z</cp:lastPrinted>
  <dcterms:modified xsi:type="dcterms:W3CDTF">2019-08-27T01:13:49Z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