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p>
    <w:p>
      <w:pPr>
        <w:jc w:val="center"/>
        <w:rPr>
          <w:rFonts w:ascii="仿宋_GB2312"/>
          <w:sz w:val="32"/>
          <w:szCs w:val="32"/>
        </w:rPr>
      </w:pPr>
      <w:r>
        <w:rPr>
          <w:rFonts w:hint="eastAsia" w:ascii="仿宋" w:hAnsi="仿宋" w:eastAsia="仿宋" w:cs="仿宋"/>
          <w:b/>
          <w:bCs/>
          <w:sz w:val="44"/>
          <w:szCs w:val="44"/>
        </w:rPr>
        <w:t>2018年度</w:t>
      </w:r>
      <w:r>
        <w:rPr>
          <w:rFonts w:hint="eastAsia" w:ascii="仿宋" w:hAnsi="仿宋" w:eastAsia="仿宋" w:cs="仿宋"/>
          <w:b/>
          <w:bCs/>
          <w:sz w:val="44"/>
          <w:szCs w:val="44"/>
          <w:lang w:val="en-US" w:eastAsia="zh-CN"/>
        </w:rPr>
        <w:t>高校科研课题经费项目</w:t>
      </w:r>
      <w:r>
        <w:rPr>
          <w:rFonts w:hint="eastAsia" w:ascii="仿宋" w:hAnsi="仿宋" w:eastAsia="仿宋" w:cs="仿宋"/>
          <w:b/>
          <w:bCs/>
          <w:sz w:val="44"/>
          <w:szCs w:val="44"/>
        </w:rPr>
        <w:t>绩效自评</w:t>
      </w:r>
      <w:r>
        <w:rPr>
          <w:rFonts w:hint="eastAsia" w:ascii="仿宋" w:hAnsi="仿宋" w:eastAsia="仿宋" w:cs="仿宋"/>
          <w:b/>
          <w:bCs/>
          <w:sz w:val="44"/>
          <w:szCs w:val="44"/>
          <w:lang w:eastAsia="zh-CN"/>
        </w:rPr>
        <w:t>报告</w:t>
      </w:r>
      <w:bookmarkStart w:id="0" w:name="_GoBack"/>
      <w:bookmarkEnd w:id="0"/>
    </w:p>
    <w:p>
      <w:pPr>
        <w:spacing w:line="61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（一）项目立项目的和年度绩效目标</w:t>
      </w:r>
    </w:p>
    <w:p>
      <w:pPr>
        <w:spacing w:line="610" w:lineRule="exact"/>
        <w:ind w:firstLine="640" w:firstLineChars="200"/>
        <w:rPr>
          <w:rFonts w:ascii="仿宋" w:hAnsi="仿宋" w:eastAsia="仿宋"/>
          <w:bCs/>
          <w:sz w:val="32"/>
          <w:szCs w:val="32"/>
        </w:rPr>
      </w:pPr>
      <w:r>
        <w:rPr>
          <w:rFonts w:hint="eastAsia" w:ascii="仿宋" w:hAnsi="仿宋" w:eastAsia="仿宋"/>
          <w:bCs/>
          <w:sz w:val="32"/>
          <w:szCs w:val="32"/>
        </w:rPr>
        <w:t>三峡大学是国家水利部和湖北省人民政府共建大学，是教育部“卓越工程师教育培养计划”高校。</w:t>
      </w:r>
      <w:r>
        <w:rPr>
          <w:rFonts w:ascii="仿宋" w:hAnsi="仿宋" w:eastAsia="仿宋"/>
          <w:bCs/>
          <w:sz w:val="32"/>
          <w:szCs w:val="32"/>
        </w:rPr>
        <w:t>2018</w:t>
      </w:r>
      <w:r>
        <w:rPr>
          <w:rFonts w:hint="eastAsia" w:ascii="仿宋" w:hAnsi="仿宋" w:eastAsia="仿宋"/>
          <w:bCs/>
          <w:sz w:val="32"/>
          <w:szCs w:val="32"/>
        </w:rPr>
        <w:t>年，学校被省人民政府列为“国内一流大学建设高校”，水利工程、土木工程、电气工程等</w:t>
      </w:r>
      <w:r>
        <w:rPr>
          <w:rFonts w:ascii="仿宋" w:hAnsi="仿宋" w:eastAsia="仿宋"/>
          <w:bCs/>
          <w:sz w:val="32"/>
          <w:szCs w:val="32"/>
        </w:rPr>
        <w:t>3</w:t>
      </w:r>
      <w:r>
        <w:rPr>
          <w:rFonts w:hint="eastAsia" w:ascii="仿宋" w:hAnsi="仿宋" w:eastAsia="仿宋"/>
          <w:bCs/>
          <w:sz w:val="32"/>
          <w:szCs w:val="32"/>
        </w:rPr>
        <w:t>个学科被列为“国内一流学科建设学科”。目前，三峡大学已成为水利电力特色与优势比较明显、综合办学实力较强、享有一定社会声誉的综合性大学。从事科学研究是三峡大学基本任务之一，科研水平不仅体现了大学的核心竞争力，同时也影响着人才培养的质量，大力提高高等学校科研水平是实现人才强国和创新型国家的重要步骤。根据《国家中长期教育改革和发展规划纲要（</w:t>
      </w:r>
      <w:r>
        <w:rPr>
          <w:rFonts w:ascii="仿宋" w:hAnsi="仿宋" w:eastAsia="仿宋"/>
          <w:bCs/>
          <w:sz w:val="32"/>
          <w:szCs w:val="32"/>
        </w:rPr>
        <w:t>2010-2020）》、《省人民政府关于推动高校院所科技人员服务企业研发活动的意见》（鄂政发〔2015〕66号）等文件及学校发展要求，学校实施了2018年高校科研课题项目。</w:t>
      </w:r>
    </w:p>
    <w:p>
      <w:pPr>
        <w:spacing w:line="610" w:lineRule="exact"/>
        <w:ind w:firstLine="640" w:firstLineChars="200"/>
        <w:rPr>
          <w:rFonts w:ascii="仿宋" w:hAnsi="仿宋" w:eastAsia="仿宋"/>
          <w:bCs/>
          <w:sz w:val="32"/>
          <w:szCs w:val="32"/>
        </w:rPr>
      </w:pPr>
      <w:r>
        <w:rPr>
          <w:rFonts w:hint="eastAsia" w:ascii="仿宋" w:hAnsi="仿宋" w:eastAsia="仿宋"/>
          <w:bCs/>
          <w:sz w:val="32"/>
          <w:szCs w:val="32"/>
        </w:rPr>
        <w:t>该项目预算资金</w:t>
      </w:r>
      <w:r>
        <w:rPr>
          <w:rFonts w:ascii="仿宋" w:hAnsi="仿宋" w:eastAsia="仿宋"/>
          <w:bCs/>
          <w:sz w:val="32"/>
          <w:szCs w:val="32"/>
        </w:rPr>
        <w:t>2800万元，经费来源为其他收入。</w:t>
      </w:r>
    </w:p>
    <w:p>
      <w:pPr>
        <w:spacing w:line="610" w:lineRule="exact"/>
        <w:ind w:firstLine="640" w:firstLineChars="200"/>
        <w:rPr>
          <w:rFonts w:ascii="仿宋" w:hAnsi="仿宋" w:eastAsia="仿宋"/>
          <w:bCs/>
          <w:sz w:val="32"/>
          <w:szCs w:val="32"/>
        </w:rPr>
      </w:pPr>
      <w:r>
        <w:rPr>
          <w:rFonts w:hint="eastAsia" w:ascii="仿宋" w:hAnsi="仿宋" w:eastAsia="仿宋"/>
          <w:bCs/>
          <w:sz w:val="32"/>
          <w:szCs w:val="32"/>
        </w:rPr>
        <w:t>根据学校发展要求，通过一年的科学研究，取得了一批高水平学术成果。</w:t>
      </w:r>
    </w:p>
    <w:p>
      <w:pPr>
        <w:spacing w:line="610" w:lineRule="exact"/>
        <w:ind w:firstLine="640" w:firstLineChars="200"/>
        <w:rPr>
          <w:rFonts w:ascii="仿宋" w:hAnsi="仿宋" w:eastAsia="仿宋"/>
          <w:bCs/>
          <w:sz w:val="28"/>
          <w:szCs w:val="28"/>
        </w:rPr>
      </w:pPr>
      <w:r>
        <w:rPr>
          <w:rFonts w:hint="eastAsia" w:ascii="仿宋" w:hAnsi="仿宋" w:eastAsia="仿宋"/>
          <w:bCs/>
          <w:sz w:val="32"/>
          <w:szCs w:val="32"/>
        </w:rPr>
        <w:t>年度绩效目标设置如下：</w:t>
      </w:r>
    </w:p>
    <w:p>
      <w:pPr>
        <w:spacing w:line="610" w:lineRule="exact"/>
        <w:ind w:firstLine="560" w:firstLineChars="200"/>
        <w:rPr>
          <w:rFonts w:ascii="仿宋" w:hAnsi="仿宋" w:eastAsia="仿宋"/>
          <w:bCs/>
          <w:sz w:val="28"/>
          <w:szCs w:val="28"/>
        </w:rPr>
      </w:pPr>
    </w:p>
    <w:p>
      <w:pPr>
        <w:spacing w:line="610" w:lineRule="exact"/>
        <w:ind w:firstLine="560" w:firstLineChars="200"/>
        <w:jc w:val="center"/>
        <w:rPr>
          <w:rFonts w:ascii="仿宋" w:hAnsi="仿宋" w:eastAsia="仿宋"/>
          <w:bCs/>
          <w:sz w:val="28"/>
          <w:szCs w:val="28"/>
        </w:rPr>
      </w:pPr>
      <w:r>
        <w:rPr>
          <w:rFonts w:hint="eastAsia" w:ascii="仿宋" w:hAnsi="仿宋" w:eastAsia="仿宋"/>
          <w:bCs/>
          <w:sz w:val="28"/>
          <w:szCs w:val="28"/>
        </w:rPr>
        <w:t>表1 年度绩效目标设定</w:t>
      </w:r>
    </w:p>
    <w:tbl>
      <w:tblPr>
        <w:tblStyle w:val="5"/>
        <w:tblW w:w="8800" w:type="dxa"/>
        <w:jc w:val="center"/>
        <w:tblInd w:w="94" w:type="dxa"/>
        <w:tblLayout w:type="fixed"/>
        <w:tblCellMar>
          <w:top w:w="0" w:type="dxa"/>
          <w:left w:w="108" w:type="dxa"/>
          <w:bottom w:w="0" w:type="dxa"/>
          <w:right w:w="108" w:type="dxa"/>
        </w:tblCellMar>
      </w:tblPr>
      <w:tblGrid>
        <w:gridCol w:w="1080"/>
        <w:gridCol w:w="919"/>
        <w:gridCol w:w="1241"/>
        <w:gridCol w:w="1080"/>
        <w:gridCol w:w="1080"/>
        <w:gridCol w:w="1080"/>
        <w:gridCol w:w="1080"/>
        <w:gridCol w:w="1240"/>
      </w:tblGrid>
      <w:tr>
        <w:tblPrEx>
          <w:tblLayout w:type="fixed"/>
          <w:tblCellMar>
            <w:top w:w="0" w:type="dxa"/>
            <w:left w:w="108" w:type="dxa"/>
            <w:bottom w:w="0" w:type="dxa"/>
            <w:right w:w="108" w:type="dxa"/>
          </w:tblCellMar>
        </w:tblPrEx>
        <w:trPr>
          <w:trHeight w:val="300" w:hRule="atLeast"/>
          <w:jc w:val="center"/>
        </w:trPr>
        <w:tc>
          <w:tcPr>
            <w:tcW w:w="1080" w:type="dxa"/>
            <w:vMerge w:val="restart"/>
            <w:tcBorders>
              <w:top w:val="single" w:color="000000" w:sz="8" w:space="0"/>
              <w:left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年度绩效指标</w:t>
            </w:r>
          </w:p>
        </w:tc>
        <w:tc>
          <w:tcPr>
            <w:tcW w:w="919" w:type="dxa"/>
            <w:vMerge w:val="restart"/>
            <w:tcBorders>
              <w:top w:val="single" w:color="000000" w:sz="8" w:space="0"/>
              <w:left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一级指标</w:t>
            </w:r>
          </w:p>
        </w:tc>
        <w:tc>
          <w:tcPr>
            <w:tcW w:w="124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二级指标</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指标名称</w:t>
            </w:r>
          </w:p>
        </w:tc>
        <w:tc>
          <w:tcPr>
            <w:tcW w:w="3240"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指标值</w:t>
            </w:r>
          </w:p>
        </w:tc>
        <w:tc>
          <w:tcPr>
            <w:tcW w:w="12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绩效标准</w:t>
            </w:r>
          </w:p>
        </w:tc>
      </w:tr>
      <w:tr>
        <w:tblPrEx>
          <w:tblLayout w:type="fixed"/>
          <w:tblCellMar>
            <w:top w:w="0" w:type="dxa"/>
            <w:left w:w="108" w:type="dxa"/>
            <w:bottom w:w="0" w:type="dxa"/>
            <w:right w:w="108" w:type="dxa"/>
          </w:tblCellMar>
        </w:tblPrEx>
        <w:trPr>
          <w:trHeight w:val="300" w:hRule="atLeast"/>
          <w:jc w:val="center"/>
        </w:trPr>
        <w:tc>
          <w:tcPr>
            <w:tcW w:w="1080" w:type="dxa"/>
            <w:vMerge w:val="continue"/>
            <w:tcBorders>
              <w:left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919" w:type="dxa"/>
            <w:vMerge w:val="continue"/>
            <w:tcBorders>
              <w:left w:val="single" w:color="000000" w:sz="8" w:space="0"/>
              <w:right w:val="single" w:color="000000" w:sz="8" w:space="0"/>
            </w:tcBorders>
            <w:vAlign w:val="center"/>
          </w:tcPr>
          <w:p>
            <w:pPr>
              <w:widowControl/>
              <w:jc w:val="left"/>
              <w:rPr>
                <w:rFonts w:ascii="仿宋" w:hAnsi="仿宋" w:eastAsia="仿宋"/>
                <w:bCs/>
                <w:sz w:val="24"/>
              </w:rPr>
            </w:pPr>
          </w:p>
        </w:tc>
        <w:tc>
          <w:tcPr>
            <w:tcW w:w="124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bCs/>
                <w:sz w:val="24"/>
              </w:rPr>
            </w:pP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bCs/>
                <w:sz w:val="24"/>
              </w:rPr>
            </w:pPr>
          </w:p>
        </w:tc>
        <w:tc>
          <w:tcPr>
            <w:tcW w:w="2160"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项目近两年指标值</w:t>
            </w:r>
          </w:p>
        </w:tc>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预期当年实现值</w:t>
            </w:r>
          </w:p>
        </w:tc>
        <w:tc>
          <w:tcPr>
            <w:tcW w:w="124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bCs/>
                <w:sz w:val="24"/>
              </w:rPr>
            </w:pPr>
          </w:p>
        </w:tc>
      </w:tr>
      <w:tr>
        <w:tblPrEx>
          <w:tblLayout w:type="fixed"/>
          <w:tblCellMar>
            <w:top w:w="0" w:type="dxa"/>
            <w:left w:w="108" w:type="dxa"/>
            <w:bottom w:w="0" w:type="dxa"/>
            <w:right w:w="108" w:type="dxa"/>
          </w:tblCellMar>
        </w:tblPrEx>
        <w:trPr>
          <w:trHeight w:val="300" w:hRule="atLeast"/>
          <w:jc w:val="center"/>
        </w:trPr>
        <w:tc>
          <w:tcPr>
            <w:tcW w:w="1080" w:type="dxa"/>
            <w:vMerge w:val="continue"/>
            <w:tcBorders>
              <w:left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919" w:type="dxa"/>
            <w:vMerge w:val="continue"/>
            <w:tcBorders>
              <w:left w:val="single" w:color="000000" w:sz="8" w:space="0"/>
              <w:bottom w:val="single" w:color="000000" w:sz="8" w:space="0"/>
              <w:right w:val="single" w:color="000000" w:sz="8" w:space="0"/>
            </w:tcBorders>
            <w:vAlign w:val="center"/>
          </w:tcPr>
          <w:p>
            <w:pPr>
              <w:widowControl/>
              <w:jc w:val="left"/>
              <w:rPr>
                <w:rFonts w:ascii="仿宋" w:hAnsi="仿宋" w:eastAsia="仿宋"/>
                <w:bCs/>
                <w:sz w:val="24"/>
              </w:rPr>
            </w:pPr>
          </w:p>
        </w:tc>
        <w:tc>
          <w:tcPr>
            <w:tcW w:w="124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bCs/>
                <w:sz w:val="24"/>
              </w:rPr>
            </w:pP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bCs/>
                <w:sz w:val="24"/>
              </w:rPr>
            </w:pP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2016年</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2017年</w:t>
            </w:r>
          </w:p>
        </w:tc>
        <w:tc>
          <w:tcPr>
            <w:tcW w:w="1080" w:type="dxa"/>
            <w:vMerge w:val="continue"/>
            <w:tcBorders>
              <w:top w:val="nil"/>
              <w:left w:val="single" w:color="000000" w:sz="8" w:space="0"/>
              <w:bottom w:val="single" w:color="000000" w:sz="8" w:space="0"/>
              <w:right w:val="single" w:color="000000" w:sz="8" w:space="0"/>
            </w:tcBorders>
            <w:vAlign w:val="center"/>
          </w:tcPr>
          <w:p>
            <w:pPr>
              <w:widowControl/>
              <w:jc w:val="left"/>
              <w:rPr>
                <w:rFonts w:ascii="仿宋" w:hAnsi="仿宋" w:eastAsia="仿宋"/>
                <w:bCs/>
                <w:sz w:val="24"/>
              </w:rPr>
            </w:pPr>
          </w:p>
        </w:tc>
        <w:tc>
          <w:tcPr>
            <w:tcW w:w="124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仿宋" w:hAnsi="仿宋" w:eastAsia="仿宋"/>
                <w:bCs/>
                <w:sz w:val="24"/>
              </w:rPr>
            </w:pPr>
          </w:p>
        </w:tc>
      </w:tr>
      <w:tr>
        <w:tblPrEx>
          <w:tblLayout w:type="fixed"/>
          <w:tblCellMar>
            <w:top w:w="0" w:type="dxa"/>
            <w:left w:w="108" w:type="dxa"/>
            <w:bottom w:w="0" w:type="dxa"/>
            <w:right w:w="108" w:type="dxa"/>
          </w:tblCellMar>
        </w:tblPrEx>
        <w:trPr>
          <w:trHeight w:val="585" w:hRule="atLeast"/>
          <w:jc w:val="center"/>
        </w:trPr>
        <w:tc>
          <w:tcPr>
            <w:tcW w:w="1080" w:type="dxa"/>
            <w:vMerge w:val="continue"/>
            <w:tcBorders>
              <w:left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919" w:type="dxa"/>
            <w:vMerge w:val="restart"/>
            <w:tcBorders>
              <w:top w:val="nil"/>
              <w:left w:val="single" w:color="000000" w:sz="8" w:space="0"/>
              <w:right w:val="single" w:color="000000" w:sz="8" w:space="0"/>
            </w:tcBorders>
            <w:vAlign w:val="center"/>
          </w:tcPr>
          <w:p>
            <w:pPr>
              <w:widowControl/>
              <w:jc w:val="center"/>
              <w:rPr>
                <w:rFonts w:ascii="仿宋" w:hAnsi="仿宋" w:eastAsia="仿宋"/>
                <w:bCs/>
                <w:sz w:val="24"/>
              </w:rPr>
            </w:pPr>
            <w:r>
              <w:rPr>
                <w:rFonts w:hint="eastAsia" w:ascii="仿宋" w:hAnsi="仿宋" w:eastAsia="仿宋"/>
                <w:bCs/>
                <w:sz w:val="24"/>
              </w:rPr>
              <w:t>产出指标</w:t>
            </w:r>
          </w:p>
        </w:tc>
        <w:tc>
          <w:tcPr>
            <w:tcW w:w="1241"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数量指标</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国家基金项目数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60项</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54项</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60项</w:t>
            </w:r>
          </w:p>
        </w:tc>
        <w:tc>
          <w:tcPr>
            <w:tcW w:w="124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≥90%</w:t>
            </w:r>
          </w:p>
        </w:tc>
      </w:tr>
      <w:tr>
        <w:tblPrEx>
          <w:tblLayout w:type="fixed"/>
          <w:tblCellMar>
            <w:top w:w="0" w:type="dxa"/>
            <w:left w:w="108" w:type="dxa"/>
            <w:bottom w:w="0" w:type="dxa"/>
            <w:right w:w="108" w:type="dxa"/>
          </w:tblCellMar>
        </w:tblPrEx>
        <w:trPr>
          <w:trHeight w:val="585" w:hRule="atLeast"/>
          <w:jc w:val="center"/>
        </w:trPr>
        <w:tc>
          <w:tcPr>
            <w:tcW w:w="1080" w:type="dxa"/>
            <w:vMerge w:val="continue"/>
            <w:tcBorders>
              <w:left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919" w:type="dxa"/>
            <w:vMerge w:val="continue"/>
            <w:tcBorders>
              <w:left w:val="single" w:color="000000" w:sz="8" w:space="0"/>
              <w:right w:val="single" w:color="000000" w:sz="8" w:space="0"/>
            </w:tcBorders>
            <w:vAlign w:val="center"/>
          </w:tcPr>
          <w:p>
            <w:pPr>
              <w:widowControl/>
              <w:jc w:val="center"/>
              <w:rPr>
                <w:rFonts w:ascii="仿宋" w:hAnsi="仿宋" w:eastAsia="仿宋"/>
                <w:bCs/>
                <w:sz w:val="24"/>
              </w:rPr>
            </w:pPr>
          </w:p>
        </w:tc>
        <w:tc>
          <w:tcPr>
            <w:tcW w:w="1241"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数量指标</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授权发明专利数</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120项</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150项</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180项</w:t>
            </w:r>
          </w:p>
        </w:tc>
        <w:tc>
          <w:tcPr>
            <w:tcW w:w="124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≥90%</w:t>
            </w:r>
          </w:p>
        </w:tc>
      </w:tr>
      <w:tr>
        <w:tblPrEx>
          <w:tblLayout w:type="fixed"/>
          <w:tblCellMar>
            <w:top w:w="0" w:type="dxa"/>
            <w:left w:w="108" w:type="dxa"/>
            <w:bottom w:w="0" w:type="dxa"/>
            <w:right w:w="108" w:type="dxa"/>
          </w:tblCellMar>
        </w:tblPrEx>
        <w:trPr>
          <w:trHeight w:val="870" w:hRule="atLeast"/>
          <w:jc w:val="center"/>
        </w:trPr>
        <w:tc>
          <w:tcPr>
            <w:tcW w:w="1080" w:type="dxa"/>
            <w:vMerge w:val="continue"/>
            <w:tcBorders>
              <w:left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919" w:type="dxa"/>
            <w:vMerge w:val="continue"/>
            <w:tcBorders>
              <w:left w:val="single" w:color="000000" w:sz="8" w:space="0"/>
              <w:right w:val="single" w:color="000000" w:sz="8" w:space="0"/>
            </w:tcBorders>
            <w:vAlign w:val="center"/>
          </w:tcPr>
          <w:p>
            <w:pPr>
              <w:widowControl/>
              <w:jc w:val="center"/>
              <w:rPr>
                <w:rFonts w:ascii="仿宋" w:hAnsi="仿宋" w:eastAsia="仿宋"/>
                <w:bCs/>
                <w:sz w:val="24"/>
              </w:rPr>
            </w:pPr>
          </w:p>
        </w:tc>
        <w:tc>
          <w:tcPr>
            <w:tcW w:w="1241"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质量指标</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第一单位省部级奖励</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6项</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7项</w:t>
            </w:r>
          </w:p>
        </w:tc>
        <w:tc>
          <w:tcPr>
            <w:tcW w:w="108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8项</w:t>
            </w:r>
          </w:p>
        </w:tc>
        <w:tc>
          <w:tcPr>
            <w:tcW w:w="1240" w:type="dxa"/>
            <w:tcBorders>
              <w:top w:val="nil"/>
              <w:left w:val="nil"/>
              <w:bottom w:val="single" w:color="000000" w:sz="8" w:space="0"/>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≥90%</w:t>
            </w:r>
          </w:p>
        </w:tc>
      </w:tr>
      <w:tr>
        <w:tblPrEx>
          <w:tblLayout w:type="fixed"/>
          <w:tblCellMar>
            <w:top w:w="0" w:type="dxa"/>
            <w:left w:w="108" w:type="dxa"/>
            <w:bottom w:w="0" w:type="dxa"/>
            <w:right w:w="108" w:type="dxa"/>
          </w:tblCellMar>
        </w:tblPrEx>
        <w:trPr>
          <w:trHeight w:val="870" w:hRule="atLeast"/>
          <w:jc w:val="center"/>
        </w:trPr>
        <w:tc>
          <w:tcPr>
            <w:tcW w:w="1080" w:type="dxa"/>
            <w:vMerge w:val="continue"/>
            <w:tcBorders>
              <w:left w:val="single" w:color="000000" w:sz="8" w:space="0"/>
              <w:right w:val="single" w:color="000000" w:sz="8" w:space="0"/>
            </w:tcBorders>
            <w:vAlign w:val="center"/>
          </w:tcPr>
          <w:p>
            <w:pPr>
              <w:widowControl/>
              <w:jc w:val="left"/>
              <w:rPr>
                <w:rFonts w:ascii="仿宋_GB2312" w:hAnsi="宋体" w:eastAsia="仿宋_GB2312" w:cs="宋体"/>
                <w:color w:val="000000"/>
                <w:kern w:val="0"/>
                <w:sz w:val="24"/>
              </w:rPr>
            </w:pPr>
          </w:p>
        </w:tc>
        <w:tc>
          <w:tcPr>
            <w:tcW w:w="919" w:type="dxa"/>
            <w:vMerge w:val="continue"/>
            <w:tcBorders>
              <w:left w:val="single" w:color="000000" w:sz="8" w:space="0"/>
              <w:bottom w:val="nil"/>
              <w:right w:val="single" w:color="000000" w:sz="8" w:space="0"/>
            </w:tcBorders>
            <w:vAlign w:val="center"/>
          </w:tcPr>
          <w:p>
            <w:pPr>
              <w:widowControl/>
              <w:jc w:val="center"/>
              <w:rPr>
                <w:rFonts w:ascii="仿宋" w:hAnsi="仿宋" w:eastAsia="仿宋"/>
                <w:bCs/>
                <w:sz w:val="24"/>
              </w:rPr>
            </w:pPr>
          </w:p>
        </w:tc>
        <w:tc>
          <w:tcPr>
            <w:tcW w:w="1241" w:type="dxa"/>
            <w:tcBorders>
              <w:top w:val="nil"/>
              <w:left w:val="nil"/>
              <w:bottom w:val="nil"/>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数量指标</w:t>
            </w:r>
          </w:p>
        </w:tc>
        <w:tc>
          <w:tcPr>
            <w:tcW w:w="1080" w:type="dxa"/>
            <w:tcBorders>
              <w:top w:val="nil"/>
              <w:left w:val="nil"/>
              <w:bottom w:val="nil"/>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三大检索期刊论文数</w:t>
            </w:r>
          </w:p>
        </w:tc>
        <w:tc>
          <w:tcPr>
            <w:tcW w:w="1080" w:type="dxa"/>
            <w:tcBorders>
              <w:top w:val="nil"/>
              <w:left w:val="nil"/>
              <w:bottom w:val="nil"/>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250篇</w:t>
            </w:r>
          </w:p>
        </w:tc>
        <w:tc>
          <w:tcPr>
            <w:tcW w:w="1080" w:type="dxa"/>
            <w:tcBorders>
              <w:top w:val="nil"/>
              <w:left w:val="nil"/>
              <w:bottom w:val="nil"/>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300篇</w:t>
            </w:r>
          </w:p>
        </w:tc>
        <w:tc>
          <w:tcPr>
            <w:tcW w:w="1080" w:type="dxa"/>
            <w:tcBorders>
              <w:top w:val="nil"/>
              <w:left w:val="nil"/>
              <w:bottom w:val="nil"/>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250篇</w:t>
            </w:r>
          </w:p>
        </w:tc>
        <w:tc>
          <w:tcPr>
            <w:tcW w:w="1240" w:type="dxa"/>
            <w:tcBorders>
              <w:top w:val="nil"/>
              <w:left w:val="nil"/>
              <w:bottom w:val="nil"/>
              <w:right w:val="single" w:color="000000" w:sz="8"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≥90%</w:t>
            </w:r>
          </w:p>
        </w:tc>
      </w:tr>
      <w:tr>
        <w:tblPrEx>
          <w:tblLayout w:type="fixed"/>
          <w:tblCellMar>
            <w:top w:w="0" w:type="dxa"/>
            <w:left w:w="108" w:type="dxa"/>
            <w:bottom w:w="0" w:type="dxa"/>
            <w:right w:w="108" w:type="dxa"/>
          </w:tblCellMar>
        </w:tblPrEx>
        <w:trPr>
          <w:trHeight w:val="570" w:hRule="atLeast"/>
          <w:jc w:val="center"/>
        </w:trPr>
        <w:tc>
          <w:tcPr>
            <w:tcW w:w="1080" w:type="dxa"/>
            <w:vMerge w:val="continue"/>
            <w:tcBorders>
              <w:left w:val="single" w:color="000000" w:sz="8" w:space="0"/>
              <w:right w:val="single" w:color="000000" w:sz="8" w:space="0"/>
            </w:tcBorders>
            <w:shd w:val="clear" w:color="auto" w:fill="auto"/>
            <w:noWrap/>
            <w:vAlign w:val="center"/>
          </w:tcPr>
          <w:p>
            <w:pPr>
              <w:widowControl/>
              <w:jc w:val="left"/>
              <w:rPr>
                <w:rFonts w:ascii="宋体" w:hAnsi="宋体" w:eastAsia="宋体" w:cs="宋体"/>
                <w:color w:val="000000"/>
                <w:kern w:val="0"/>
                <w:sz w:val="22"/>
                <w:szCs w:val="22"/>
              </w:rPr>
            </w:pPr>
          </w:p>
        </w:tc>
        <w:tc>
          <w:tcPr>
            <w:tcW w:w="919" w:type="dxa"/>
            <w:vMerge w:val="restart"/>
            <w:tcBorders>
              <w:top w:val="single" w:color="auto" w:sz="4" w:space="0"/>
              <w:left w:val="single" w:color="000000" w:sz="8" w:space="0"/>
              <w:bottom w:val="single" w:color="000000" w:sz="4" w:space="0"/>
              <w:right w:val="single" w:color="auto" w:sz="4" w:space="0"/>
            </w:tcBorders>
            <w:shd w:val="clear" w:color="auto" w:fill="auto"/>
            <w:noWrap/>
            <w:vAlign w:val="center"/>
          </w:tcPr>
          <w:p>
            <w:pPr>
              <w:widowControl/>
              <w:jc w:val="center"/>
              <w:rPr>
                <w:rFonts w:ascii="仿宋" w:hAnsi="仿宋" w:eastAsia="仿宋"/>
                <w:bCs/>
                <w:sz w:val="24"/>
              </w:rPr>
            </w:pPr>
            <w:r>
              <w:rPr>
                <w:rFonts w:hint="eastAsia" w:ascii="仿宋" w:hAnsi="仿宋" w:eastAsia="仿宋"/>
                <w:bCs/>
                <w:sz w:val="24"/>
              </w:rPr>
              <w:t>效益指标</w:t>
            </w:r>
          </w:p>
        </w:tc>
        <w:tc>
          <w:tcPr>
            <w:tcW w:w="12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经济效益指标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纵向合同经费</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4000万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4000万</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4500万</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≥90%</w:t>
            </w:r>
          </w:p>
        </w:tc>
      </w:tr>
      <w:tr>
        <w:tblPrEx>
          <w:tblLayout w:type="fixed"/>
          <w:tblCellMar>
            <w:top w:w="0" w:type="dxa"/>
            <w:left w:w="108" w:type="dxa"/>
            <w:bottom w:w="0" w:type="dxa"/>
            <w:right w:w="108" w:type="dxa"/>
          </w:tblCellMar>
        </w:tblPrEx>
        <w:trPr>
          <w:trHeight w:val="570" w:hRule="atLeast"/>
          <w:jc w:val="center"/>
        </w:trPr>
        <w:tc>
          <w:tcPr>
            <w:tcW w:w="1080" w:type="dxa"/>
            <w:vMerge w:val="continue"/>
            <w:tcBorders>
              <w:left w:val="single" w:color="000000" w:sz="8" w:space="0"/>
              <w:bottom w:val="single" w:color="auto" w:sz="4" w:space="0"/>
              <w:right w:val="single" w:color="000000" w:sz="8" w:space="0"/>
            </w:tcBorders>
            <w:shd w:val="clear" w:color="auto" w:fill="auto"/>
            <w:noWrap/>
            <w:vAlign w:val="center"/>
          </w:tcPr>
          <w:p>
            <w:pPr>
              <w:widowControl/>
              <w:jc w:val="left"/>
              <w:rPr>
                <w:rFonts w:ascii="宋体" w:hAnsi="宋体" w:eastAsia="宋体" w:cs="宋体"/>
                <w:color w:val="000000"/>
                <w:kern w:val="0"/>
                <w:sz w:val="22"/>
                <w:szCs w:val="22"/>
              </w:rPr>
            </w:pPr>
          </w:p>
        </w:tc>
        <w:tc>
          <w:tcPr>
            <w:tcW w:w="919" w:type="dxa"/>
            <w:vMerge w:val="continue"/>
            <w:tcBorders>
              <w:top w:val="single" w:color="auto" w:sz="4" w:space="0"/>
              <w:left w:val="single" w:color="000000" w:sz="8" w:space="0"/>
              <w:bottom w:val="single" w:color="000000" w:sz="4" w:space="0"/>
              <w:right w:val="single" w:color="auto" w:sz="4" w:space="0"/>
            </w:tcBorders>
            <w:vAlign w:val="center"/>
          </w:tcPr>
          <w:p>
            <w:pPr>
              <w:widowControl/>
              <w:jc w:val="left"/>
              <w:rPr>
                <w:rFonts w:ascii="仿宋" w:hAnsi="仿宋" w:eastAsia="仿宋"/>
                <w:bCs/>
                <w:sz w:val="24"/>
              </w:rPr>
            </w:pPr>
          </w:p>
        </w:tc>
        <w:tc>
          <w:tcPr>
            <w:tcW w:w="124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经济效益指标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纵向到账经费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3000万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3000万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3000万</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bCs/>
                <w:sz w:val="24"/>
              </w:rPr>
            </w:pPr>
            <w:r>
              <w:rPr>
                <w:rFonts w:hint="eastAsia" w:ascii="仿宋" w:hAnsi="仿宋" w:eastAsia="仿宋"/>
                <w:bCs/>
                <w:sz w:val="24"/>
              </w:rPr>
              <w:t>≥90%</w:t>
            </w:r>
          </w:p>
        </w:tc>
      </w:tr>
    </w:tbl>
    <w:p>
      <w:pPr>
        <w:numPr>
          <w:ilvl w:val="0"/>
          <w:numId w:val="1"/>
        </w:numPr>
        <w:spacing w:line="610" w:lineRule="exact"/>
        <w:ind w:firstLine="640" w:firstLineChars="200"/>
        <w:rPr>
          <w:rFonts w:ascii="仿宋_GB2312" w:eastAsia="仿宋_GB2312"/>
          <w:sz w:val="32"/>
          <w:szCs w:val="32"/>
        </w:rPr>
      </w:pPr>
      <w:r>
        <w:rPr>
          <w:rFonts w:hint="eastAsia" w:ascii="仿宋_GB2312" w:eastAsia="仿宋_GB2312"/>
          <w:sz w:val="32"/>
          <w:szCs w:val="32"/>
        </w:rPr>
        <w:t>项目资金情况</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该项目为常年性项目，当年预算资金</w:t>
      </w:r>
      <w:r>
        <w:rPr>
          <w:rFonts w:ascii="仿宋" w:hAnsi="仿宋" w:eastAsia="仿宋"/>
          <w:bCs/>
          <w:sz w:val="32"/>
          <w:szCs w:val="32"/>
        </w:rPr>
        <w:t>2800万元，经费来源为其他</w:t>
      </w:r>
      <w:r>
        <w:rPr>
          <w:rFonts w:hint="eastAsia" w:ascii="仿宋" w:hAnsi="仿宋" w:eastAsia="仿宋"/>
          <w:bCs/>
          <w:sz w:val="32"/>
          <w:szCs w:val="32"/>
        </w:rPr>
        <w:t>资金。主要用于学校</w:t>
      </w:r>
      <w:r>
        <w:rPr>
          <w:rFonts w:ascii="仿宋" w:hAnsi="仿宋" w:eastAsia="仿宋"/>
          <w:bCs/>
          <w:sz w:val="32"/>
          <w:szCs w:val="32"/>
        </w:rPr>
        <w:t>2018年纵向项目研究支出</w:t>
      </w:r>
      <w:r>
        <w:rPr>
          <w:rFonts w:hint="eastAsia" w:ascii="仿宋" w:hAnsi="仿宋" w:eastAsia="仿宋"/>
          <w:bCs/>
          <w:sz w:val="32"/>
          <w:szCs w:val="32"/>
        </w:rPr>
        <w:t>，包括开展基础研究以及科研项目研究所必需开支的材料费、设备费、差旅费、水费、电费、劳务费、会议费和其它耗材等。</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二、绩效自评工作开展情况</w:t>
      </w:r>
    </w:p>
    <w:p>
      <w:pPr>
        <w:spacing w:line="420" w:lineRule="atLeast"/>
        <w:ind w:firstLine="563" w:firstLineChars="176"/>
        <w:rPr>
          <w:rFonts w:ascii="仿宋_GB2312" w:eastAsia="仿宋_GB2312"/>
          <w:sz w:val="32"/>
          <w:szCs w:val="32"/>
        </w:rPr>
      </w:pPr>
      <w:r>
        <w:rPr>
          <w:rFonts w:hint="eastAsia" w:ascii="仿宋_GB2312" w:eastAsia="仿宋_GB2312"/>
          <w:sz w:val="32"/>
          <w:szCs w:val="32"/>
        </w:rPr>
        <w:t>（一）前期准备</w:t>
      </w:r>
    </w:p>
    <w:p>
      <w:pPr>
        <w:spacing w:line="420" w:lineRule="atLeast"/>
        <w:ind w:firstLine="755" w:firstLineChars="236"/>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学校成立绩效评价工作组。依据项目绩效目标及《省财政厅关于开展</w:t>
      </w:r>
      <w:r>
        <w:rPr>
          <w:rFonts w:ascii="仿宋" w:hAnsi="仿宋" w:eastAsia="仿宋"/>
          <w:bCs/>
          <w:sz w:val="32"/>
          <w:szCs w:val="32"/>
        </w:rPr>
        <w:t>2018</w:t>
      </w:r>
      <w:r>
        <w:rPr>
          <w:rFonts w:hint="eastAsia" w:ascii="仿宋" w:hAnsi="仿宋" w:eastAsia="仿宋"/>
          <w:bCs/>
          <w:sz w:val="32"/>
          <w:szCs w:val="32"/>
        </w:rPr>
        <w:t>年度省级财政支出绩效自评工作的通知</w:t>
      </w:r>
      <w:r>
        <w:rPr>
          <w:rFonts w:ascii="仿宋" w:hAnsi="仿宋" w:eastAsia="仿宋"/>
          <w:bCs/>
          <w:sz w:val="32"/>
          <w:szCs w:val="32"/>
        </w:rPr>
        <w:t>》（鄂财</w:t>
      </w:r>
      <w:r>
        <w:rPr>
          <w:rFonts w:hint="eastAsia" w:ascii="仿宋" w:hAnsi="仿宋" w:eastAsia="仿宋"/>
          <w:bCs/>
          <w:sz w:val="32"/>
          <w:szCs w:val="32"/>
        </w:rPr>
        <w:t>函</w:t>
      </w:r>
      <w:r>
        <w:rPr>
          <w:rFonts w:ascii="仿宋" w:hAnsi="仿宋" w:eastAsia="仿宋"/>
          <w:bCs/>
          <w:sz w:val="32"/>
          <w:szCs w:val="32"/>
        </w:rPr>
        <w:t>发</w:t>
      </w:r>
      <w:r>
        <w:rPr>
          <w:rFonts w:hint="eastAsia" w:ascii="仿宋" w:hAnsi="仿宋" w:eastAsia="仿宋"/>
          <w:bCs/>
          <w:sz w:val="32"/>
          <w:szCs w:val="32"/>
        </w:rPr>
        <w:t>〔</w:t>
      </w:r>
      <w:r>
        <w:rPr>
          <w:rFonts w:ascii="仿宋" w:hAnsi="仿宋" w:eastAsia="仿宋"/>
          <w:bCs/>
          <w:sz w:val="32"/>
          <w:szCs w:val="32"/>
        </w:rPr>
        <w:t>2019〕118号）文件要求，</w:t>
      </w:r>
      <w:r>
        <w:rPr>
          <w:rFonts w:hint="eastAsia" w:ascii="仿宋" w:hAnsi="仿宋" w:eastAsia="仿宋"/>
          <w:bCs/>
          <w:sz w:val="32"/>
          <w:szCs w:val="32"/>
        </w:rPr>
        <w:t>学校成立绩效评价工作组。</w:t>
      </w:r>
    </w:p>
    <w:p>
      <w:pPr>
        <w:spacing w:line="420" w:lineRule="atLeast"/>
        <w:ind w:firstLine="640" w:firstLineChars="200"/>
        <w:rPr>
          <w:rFonts w:ascii="仿宋" w:hAnsi="仿宋" w:eastAsia="仿宋"/>
          <w:bCs/>
          <w:sz w:val="32"/>
          <w:szCs w:val="32"/>
        </w:rPr>
      </w:pPr>
      <w:r>
        <w:rPr>
          <w:rFonts w:ascii="仿宋" w:hAnsi="仿宋" w:eastAsia="仿宋"/>
          <w:bCs/>
          <w:sz w:val="32"/>
          <w:szCs w:val="32"/>
        </w:rPr>
        <w:t>2.</w:t>
      </w:r>
      <w:r>
        <w:rPr>
          <w:rFonts w:hint="eastAsia" w:ascii="仿宋" w:hAnsi="仿宋" w:eastAsia="仿宋"/>
          <w:bCs/>
          <w:sz w:val="32"/>
          <w:szCs w:val="32"/>
        </w:rPr>
        <w:t>制定绩效评价工作方案。根据绩效评价范围，综合考虑评价数量、评价重点及评价范畴等情况，制定本次绩效评价工作方案。</w:t>
      </w:r>
    </w:p>
    <w:p>
      <w:pPr>
        <w:spacing w:line="420" w:lineRule="atLeast"/>
        <w:ind w:firstLine="640" w:firstLineChars="200"/>
        <w:rPr>
          <w:rFonts w:ascii="仿宋" w:hAnsi="仿宋" w:eastAsia="仿宋"/>
          <w:bCs/>
          <w:sz w:val="32"/>
          <w:szCs w:val="32"/>
        </w:rPr>
      </w:pPr>
      <w:r>
        <w:rPr>
          <w:rFonts w:ascii="仿宋" w:hAnsi="仿宋" w:eastAsia="仿宋"/>
          <w:bCs/>
          <w:sz w:val="32"/>
          <w:szCs w:val="32"/>
        </w:rPr>
        <w:t>3.</w:t>
      </w:r>
      <w:r>
        <w:rPr>
          <w:rFonts w:hint="eastAsia" w:ascii="仿宋" w:hAnsi="仿宋" w:eastAsia="仿宋"/>
          <w:bCs/>
          <w:sz w:val="32"/>
          <w:szCs w:val="32"/>
        </w:rPr>
        <w:t>制定绩效评价实施方案和相关制度。根据绩效评价工作方案、评价对象及预算管理要求，绩效评价工作组制定绩效评价工作实施方案，明确绩效评价工作目标、任务、时间安排和工作要求等具体事项。建立与绩效评价工作相关的制度、规定和办法。</w:t>
      </w:r>
    </w:p>
    <w:p>
      <w:pPr>
        <w:spacing w:line="420" w:lineRule="atLeast"/>
        <w:ind w:firstLine="640" w:firstLineChars="200"/>
        <w:rPr>
          <w:rFonts w:ascii="仿宋" w:hAnsi="仿宋" w:eastAsia="仿宋"/>
          <w:bCs/>
          <w:sz w:val="32"/>
          <w:szCs w:val="32"/>
        </w:rPr>
      </w:pPr>
      <w:r>
        <w:rPr>
          <w:rFonts w:ascii="仿宋" w:hAnsi="仿宋" w:eastAsia="仿宋"/>
          <w:bCs/>
          <w:sz w:val="32"/>
          <w:szCs w:val="32"/>
        </w:rPr>
        <w:t>4.</w:t>
      </w:r>
      <w:r>
        <w:rPr>
          <w:rFonts w:hint="eastAsia" w:ascii="仿宋" w:hAnsi="仿宋" w:eastAsia="仿宋"/>
          <w:bCs/>
          <w:sz w:val="32"/>
          <w:szCs w:val="32"/>
        </w:rPr>
        <w:t>部署绩效评价工作。绩效评价工作组统一下发绩效评价通知，并召开绩效评价工作部署会。</w:t>
      </w:r>
    </w:p>
    <w:p>
      <w:pPr>
        <w:spacing w:line="420" w:lineRule="atLeast"/>
        <w:ind w:firstLine="563" w:firstLineChars="176"/>
        <w:rPr>
          <w:rFonts w:ascii="仿宋_GB2312" w:eastAsia="仿宋_GB2312"/>
          <w:sz w:val="32"/>
          <w:szCs w:val="32"/>
        </w:rPr>
      </w:pPr>
      <w:r>
        <w:rPr>
          <w:rFonts w:hint="eastAsia" w:ascii="仿宋_GB2312" w:eastAsia="仿宋_GB2312"/>
          <w:sz w:val="32"/>
          <w:szCs w:val="32"/>
        </w:rPr>
        <w:t>（二）组织实施</w:t>
      </w:r>
    </w:p>
    <w:p>
      <w:pPr>
        <w:spacing w:line="420" w:lineRule="atLeast"/>
        <w:ind w:firstLine="640" w:firstLineChars="200"/>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建立绩效指标体系。根据项目年度目标设置绩效指标，同时采用逐项对比法和层次分析法，对每项指标根据重要性原则依次进行比较并确定权重值。</w:t>
      </w:r>
    </w:p>
    <w:p>
      <w:pPr>
        <w:spacing w:line="420" w:lineRule="atLeast"/>
        <w:ind w:firstLine="640" w:firstLineChars="200"/>
        <w:rPr>
          <w:rFonts w:ascii="仿宋" w:hAnsi="仿宋" w:eastAsia="仿宋"/>
          <w:bCs/>
          <w:sz w:val="32"/>
          <w:szCs w:val="32"/>
        </w:rPr>
      </w:pPr>
      <w:r>
        <w:rPr>
          <w:rFonts w:ascii="仿宋" w:hAnsi="仿宋" w:eastAsia="仿宋"/>
          <w:bCs/>
          <w:sz w:val="32"/>
          <w:szCs w:val="32"/>
        </w:rPr>
        <w:t>2.</w:t>
      </w:r>
      <w:r>
        <w:rPr>
          <w:rFonts w:hint="eastAsia" w:ascii="仿宋" w:hAnsi="仿宋" w:eastAsia="仿宋"/>
          <w:bCs/>
          <w:sz w:val="32"/>
          <w:szCs w:val="32"/>
        </w:rPr>
        <w:t>整理审核资料。根据绩效评价指标，收集相关资料，并对收集的资料进行全面核实和分析，形成指标完成清单。</w:t>
      </w:r>
    </w:p>
    <w:p>
      <w:pPr>
        <w:spacing w:line="420" w:lineRule="atLeast"/>
        <w:ind w:firstLine="640" w:firstLineChars="200"/>
        <w:rPr>
          <w:rFonts w:ascii="仿宋" w:hAnsi="仿宋" w:eastAsia="仿宋"/>
          <w:bCs/>
          <w:sz w:val="32"/>
          <w:szCs w:val="32"/>
        </w:rPr>
      </w:pPr>
      <w:r>
        <w:rPr>
          <w:rFonts w:ascii="仿宋" w:hAnsi="仿宋" w:eastAsia="仿宋"/>
          <w:bCs/>
          <w:sz w:val="32"/>
          <w:szCs w:val="32"/>
        </w:rPr>
        <w:t>3.</w:t>
      </w:r>
      <w:r>
        <w:rPr>
          <w:rFonts w:hint="eastAsia" w:ascii="仿宋" w:hAnsi="仿宋" w:eastAsia="仿宋"/>
          <w:bCs/>
          <w:sz w:val="32"/>
          <w:szCs w:val="32"/>
        </w:rPr>
        <w:t>撰写自评价报告和评价表。根据收集的资料，按绩效评价工作要求，撰写自评价报告和评价表。</w:t>
      </w:r>
    </w:p>
    <w:p>
      <w:pPr>
        <w:spacing w:line="420" w:lineRule="atLeast"/>
        <w:ind w:firstLine="640" w:firstLineChars="200"/>
        <w:rPr>
          <w:rFonts w:ascii="仿宋" w:hAnsi="仿宋" w:eastAsia="仿宋"/>
          <w:bCs/>
          <w:sz w:val="28"/>
          <w:szCs w:val="28"/>
        </w:rPr>
      </w:pPr>
      <w:r>
        <w:rPr>
          <w:rFonts w:ascii="仿宋" w:hAnsi="仿宋" w:eastAsia="仿宋"/>
          <w:bCs/>
          <w:sz w:val="32"/>
          <w:szCs w:val="32"/>
        </w:rPr>
        <w:t>4</w:t>
      </w:r>
      <w:r>
        <w:rPr>
          <w:rFonts w:hint="eastAsia" w:ascii="仿宋" w:hAnsi="仿宋" w:eastAsia="仿宋"/>
          <w:bCs/>
          <w:sz w:val="32"/>
          <w:szCs w:val="32"/>
        </w:rPr>
        <w:t>.提交评价材料进行审核。将自评价报告、评价表及相关材料清单，按要求提交绩效评价工作组进行审核确认。</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三、绩效目标完成情况分析</w:t>
      </w:r>
    </w:p>
    <w:p>
      <w:pPr>
        <w:spacing w:line="610" w:lineRule="exact"/>
        <w:ind w:firstLine="640" w:firstLineChars="200"/>
        <w:outlineLvl w:val="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（一）资金投入情况分析</w:t>
      </w:r>
    </w:p>
    <w:p>
      <w:pPr>
        <w:spacing w:line="610" w:lineRule="exact"/>
        <w:ind w:firstLine="640" w:firstLineChars="200"/>
        <w:rPr>
          <w:rFonts w:ascii="仿宋" w:hAnsi="仿宋" w:eastAsia="仿宋"/>
          <w:bCs/>
          <w:sz w:val="32"/>
          <w:szCs w:val="32"/>
        </w:rPr>
      </w:pPr>
      <w:r>
        <w:rPr>
          <w:rFonts w:ascii="仿宋" w:hAnsi="仿宋" w:eastAsia="仿宋"/>
          <w:bCs/>
          <w:sz w:val="32"/>
          <w:szCs w:val="32"/>
        </w:rPr>
        <w:t>1.项目资金到位情况分析</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项目预算资金</w:t>
      </w:r>
      <w:r>
        <w:rPr>
          <w:rFonts w:ascii="仿宋" w:hAnsi="仿宋" w:eastAsia="仿宋"/>
          <w:bCs/>
          <w:sz w:val="32"/>
          <w:szCs w:val="32"/>
        </w:rPr>
        <w:t>2800万元，已于当年全部到位。</w:t>
      </w:r>
    </w:p>
    <w:p>
      <w:pPr>
        <w:spacing w:line="610" w:lineRule="exact"/>
        <w:ind w:firstLine="640" w:firstLineChars="200"/>
        <w:rPr>
          <w:rFonts w:ascii="仿宋" w:hAnsi="仿宋" w:eastAsia="仿宋"/>
          <w:bCs/>
          <w:sz w:val="32"/>
          <w:szCs w:val="32"/>
        </w:rPr>
      </w:pPr>
      <w:r>
        <w:rPr>
          <w:rFonts w:ascii="仿宋" w:hAnsi="仿宋" w:eastAsia="仿宋"/>
          <w:bCs/>
          <w:sz w:val="32"/>
          <w:szCs w:val="32"/>
        </w:rPr>
        <w:t>2.项目资金执行情况分析</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全年经费支出</w:t>
      </w:r>
      <w:r>
        <w:rPr>
          <w:rFonts w:ascii="仿宋" w:hAnsi="仿宋" w:eastAsia="仿宋"/>
          <w:bCs/>
          <w:sz w:val="32"/>
          <w:szCs w:val="32"/>
        </w:rPr>
        <w:t>3777万元，资金使用率为135%。其中专用材料费995.32万元，助研费640.05万元，差旅费687.17万元，出版信息及知识产权费254.45万元，测试分析加工费207.07万元，设备购置费113.39万元，科研管理费122.36万元，科研协作费98.04万元，会议费12.83万元，印刷费55.37万元，设备维护费9.12万元，国际合作交流费104.62万元，专家费30.94万元，办公费43.52万元，办公设备购置费77.14万元，科研绩效支出143.22万元，其他支出182.39万元。</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经费支出超出预算原因：近年来，学校鼓励加大对科研项目的投入，随着财务制度的完善、科研项目的开展及科技资金支出的实际需求提升，项目支出预算执行率高，实际支出比预算增加，导致资金使用率高。</w:t>
      </w:r>
    </w:p>
    <w:p>
      <w:pPr>
        <w:spacing w:line="610" w:lineRule="exact"/>
        <w:ind w:firstLine="640" w:firstLineChars="200"/>
        <w:rPr>
          <w:rFonts w:ascii="仿宋" w:hAnsi="仿宋" w:eastAsia="仿宋"/>
          <w:bCs/>
          <w:sz w:val="32"/>
          <w:szCs w:val="32"/>
        </w:rPr>
      </w:pPr>
      <w:r>
        <w:rPr>
          <w:rFonts w:ascii="仿宋" w:hAnsi="仿宋" w:eastAsia="仿宋"/>
          <w:bCs/>
          <w:sz w:val="32"/>
          <w:szCs w:val="32"/>
        </w:rPr>
        <w:t>3.项目资金管理情况分析</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项目按照《三峡大学“十二五”及中长期科学和技术发展规划纲要》、《三峡大学“十三五”科技发展规划》、《三峡大学资金管理办法》（三峡大财〔</w:t>
      </w:r>
      <w:r>
        <w:rPr>
          <w:rFonts w:ascii="仿宋" w:hAnsi="仿宋" w:eastAsia="仿宋"/>
          <w:bCs/>
          <w:sz w:val="32"/>
          <w:szCs w:val="32"/>
        </w:rPr>
        <w:t>2016〕42号）、《三峡大学纵向科研项目经费支出指导性意见（试行）》（三峡大科〔2018〕10号）、《三峡大学科研行为规范及管理职责》（三峡大科〔2017〕26号）等进行项目预算、执行、资金的管理，项目资金使用合法、合规。</w:t>
      </w:r>
    </w:p>
    <w:p>
      <w:pPr>
        <w:spacing w:line="610" w:lineRule="exact"/>
        <w:ind w:firstLine="640" w:firstLineChars="200"/>
        <w:outlineLvl w:val="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（二）绩效目标完成情况分析</w:t>
      </w:r>
    </w:p>
    <w:p>
      <w:pPr>
        <w:spacing w:line="610" w:lineRule="exact"/>
        <w:ind w:firstLine="640" w:firstLineChars="200"/>
        <w:rPr>
          <w:rFonts w:ascii="仿宋" w:hAnsi="仿宋" w:eastAsia="仿宋"/>
          <w:bCs/>
          <w:sz w:val="28"/>
          <w:szCs w:val="28"/>
        </w:rPr>
      </w:pPr>
      <w:r>
        <w:rPr>
          <w:rFonts w:ascii="仿宋" w:hAnsi="仿宋" w:eastAsia="仿宋"/>
          <w:bCs/>
          <w:sz w:val="32"/>
          <w:szCs w:val="32"/>
        </w:rPr>
        <w:t>1.产出指标完成情况分析</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产出指标分值</w:t>
      </w:r>
      <w:r>
        <w:rPr>
          <w:rFonts w:ascii="仿宋" w:hAnsi="仿宋" w:eastAsia="仿宋"/>
          <w:bCs/>
          <w:sz w:val="32"/>
          <w:szCs w:val="32"/>
        </w:rPr>
        <w:t>40分，得分40分。</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产出指标设置获批国家基金项目数、授权发明专利数、第一完成单位获批省部级奖励及三大检索期刊论文数</w:t>
      </w:r>
      <w:r>
        <w:rPr>
          <w:rFonts w:ascii="仿宋" w:hAnsi="仿宋" w:eastAsia="仿宋"/>
          <w:bCs/>
          <w:sz w:val="32"/>
          <w:szCs w:val="32"/>
        </w:rPr>
        <w:t>4个三级指标，具体评价情况如下：</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t>1）获批国家</w:t>
      </w:r>
      <w:r>
        <w:rPr>
          <w:rFonts w:hint="eastAsia" w:ascii="仿宋" w:hAnsi="仿宋" w:eastAsia="仿宋"/>
          <w:bCs/>
          <w:sz w:val="32"/>
          <w:szCs w:val="32"/>
        </w:rPr>
        <w:t>基金项目数目标值</w:t>
      </w:r>
      <w:r>
        <w:rPr>
          <w:rFonts w:ascii="仿宋" w:hAnsi="仿宋" w:eastAsia="仿宋"/>
          <w:bCs/>
          <w:sz w:val="32"/>
          <w:szCs w:val="32"/>
        </w:rPr>
        <w:t>60项。</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根据科技处提供的国家级立项项目清单，实际完成</w:t>
      </w:r>
      <w:r>
        <w:rPr>
          <w:rFonts w:ascii="仿宋" w:hAnsi="仿宋" w:eastAsia="仿宋"/>
          <w:bCs/>
          <w:sz w:val="32"/>
          <w:szCs w:val="32"/>
        </w:rPr>
        <w:t>62项，分值10分，得分10分。</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t>2）</w:t>
      </w:r>
      <w:r>
        <w:rPr>
          <w:rFonts w:hint="eastAsia" w:ascii="仿宋" w:hAnsi="仿宋" w:eastAsia="仿宋"/>
          <w:bCs/>
          <w:sz w:val="32"/>
          <w:szCs w:val="32"/>
        </w:rPr>
        <w:t>授权发明专利数目标值</w:t>
      </w:r>
      <w:r>
        <w:rPr>
          <w:rFonts w:ascii="仿宋" w:hAnsi="仿宋" w:eastAsia="仿宋"/>
          <w:bCs/>
          <w:sz w:val="32"/>
          <w:szCs w:val="32"/>
        </w:rPr>
        <w:t>180项。</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根据科技处提供的授权发明专利清单，实际授权</w:t>
      </w:r>
      <w:r>
        <w:rPr>
          <w:rFonts w:ascii="仿宋" w:hAnsi="仿宋" w:eastAsia="仿宋"/>
          <w:bCs/>
          <w:sz w:val="32"/>
          <w:szCs w:val="32"/>
        </w:rPr>
        <w:t>242项，分值10分，得分10分。</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偏离原因：学校注重对授权发明专利的奖励，引导科研工作者申请高质量的发明专利，从而授权发明专利数量提高。</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t>3）第一完成单位获批省部级奖励目标值8项。</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根据科技处提供的第一单位获批省部级奖励清单，实际获批省部级奖励</w:t>
      </w:r>
      <w:r>
        <w:rPr>
          <w:rFonts w:ascii="仿宋" w:hAnsi="仿宋" w:eastAsia="仿宋"/>
          <w:bCs/>
          <w:sz w:val="32"/>
          <w:szCs w:val="32"/>
        </w:rPr>
        <w:t>14项，分值10分，得分10分。</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偏离原因：学校加大对省部级奖励工作的激励，且随着学校科研水平的不断提升，有能力申报省部级奖励且获批奖励的数量增多。</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t>4）三大检索期刊论文目标值250篇。</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根据科技处提供三大检索期刊论文清单，实际发表三大检索期刊论文</w:t>
      </w:r>
      <w:r>
        <w:rPr>
          <w:rFonts w:ascii="仿宋" w:hAnsi="仿宋" w:eastAsia="仿宋"/>
          <w:bCs/>
          <w:sz w:val="32"/>
          <w:szCs w:val="32"/>
        </w:rPr>
        <w:t>374篇。分值10分，得分10分。</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偏离原因：学校注重对高质量论文奖励的引导作用，且经过近几年科研工作的积累，科研水平进一步提升，发表三大检索期刊论文数量高。</w:t>
      </w:r>
    </w:p>
    <w:p>
      <w:pPr>
        <w:spacing w:line="610" w:lineRule="exact"/>
        <w:ind w:firstLine="640" w:firstLineChars="200"/>
        <w:rPr>
          <w:rFonts w:ascii="仿宋" w:hAnsi="仿宋" w:eastAsia="仿宋"/>
          <w:bCs/>
          <w:sz w:val="32"/>
          <w:szCs w:val="32"/>
        </w:rPr>
      </w:pPr>
      <w:r>
        <w:rPr>
          <w:rFonts w:ascii="仿宋" w:hAnsi="仿宋" w:eastAsia="仿宋"/>
          <w:bCs/>
          <w:sz w:val="32"/>
          <w:szCs w:val="32"/>
        </w:rPr>
        <w:t>2.效益指标完成情况分析</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效益指标分值</w:t>
      </w:r>
      <w:r>
        <w:rPr>
          <w:rFonts w:ascii="仿宋" w:hAnsi="仿宋" w:eastAsia="仿宋"/>
          <w:bCs/>
          <w:sz w:val="32"/>
          <w:szCs w:val="32"/>
        </w:rPr>
        <w:t>40分，得分</w:t>
      </w:r>
      <w:r>
        <w:rPr>
          <w:rFonts w:hint="eastAsia" w:ascii="仿宋" w:hAnsi="仿宋" w:eastAsia="仿宋"/>
          <w:bCs/>
          <w:sz w:val="32"/>
          <w:szCs w:val="32"/>
        </w:rPr>
        <w:t>37.89分。</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效益指标设置纵向合同经费、纵向到账经费两个三级指标，具体评价情况如下：</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t>1）纵向合同经费目标值4500万。根据科技处提供的纵向项目清单及统计表，2018年实际纵向合同经费为4025.78万元</w:t>
      </w:r>
      <w:r>
        <w:rPr>
          <w:rFonts w:hint="eastAsia" w:ascii="仿宋" w:hAnsi="仿宋" w:eastAsia="仿宋"/>
          <w:bCs/>
          <w:sz w:val="32"/>
          <w:szCs w:val="32"/>
        </w:rPr>
        <w:t>，分值</w:t>
      </w:r>
      <w:r>
        <w:rPr>
          <w:rFonts w:ascii="仿宋" w:hAnsi="仿宋" w:eastAsia="仿宋"/>
          <w:bCs/>
          <w:sz w:val="32"/>
          <w:szCs w:val="32"/>
        </w:rPr>
        <w:t>20分，得分</w:t>
      </w:r>
      <w:r>
        <w:rPr>
          <w:rFonts w:hint="eastAsia" w:ascii="仿宋" w:hAnsi="仿宋" w:eastAsia="仿宋"/>
          <w:bCs/>
          <w:sz w:val="32"/>
          <w:szCs w:val="32"/>
        </w:rPr>
        <w:t>17.89分。</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偏离原因：部分项目立项较晚，立项部门未明确合同金额或下达合同经费滞后，导致合同经费降低。</w:t>
      </w:r>
    </w:p>
    <w:p>
      <w:pPr>
        <w:spacing w:line="420" w:lineRule="atLeast"/>
        <w:ind w:firstLine="640" w:firstLineChars="200"/>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t>2）纵向到账经费目标值3000万。根据财务处提供的纵向到账经费清单，实际完成3288.76万元，分值20分，得分20分。</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四、绩效自评结果拟应用情况</w:t>
      </w:r>
    </w:p>
    <w:p>
      <w:pPr>
        <w:spacing w:line="610" w:lineRule="exact"/>
        <w:ind w:firstLine="579" w:firstLineChars="181"/>
        <w:rPr>
          <w:rFonts w:hint="eastAsia" w:ascii="仿宋_GB2312" w:eastAsia="仿宋_GB2312"/>
          <w:sz w:val="32"/>
          <w:szCs w:val="32"/>
        </w:rPr>
      </w:pPr>
      <w:r>
        <w:rPr>
          <w:rFonts w:hint="eastAsia" w:ascii="仿宋_GB2312" w:eastAsia="仿宋_GB2312"/>
          <w:sz w:val="32"/>
          <w:szCs w:val="32"/>
        </w:rPr>
        <w:t>2018年高校科研课题经费项目总体自评得分</w:t>
      </w:r>
      <w:r>
        <w:rPr>
          <w:rFonts w:hint="eastAsia" w:ascii="仿宋_GB2312" w:eastAsia="仿宋_GB2312"/>
          <w:sz w:val="32"/>
          <w:szCs w:val="32"/>
          <w:lang w:val="en-US" w:eastAsia="zh-CN"/>
        </w:rPr>
        <w:t>97.89</w:t>
      </w:r>
      <w:r>
        <w:rPr>
          <w:rFonts w:hint="eastAsia" w:ascii="仿宋_GB2312" w:eastAsia="仿宋_GB2312"/>
          <w:sz w:val="32"/>
          <w:szCs w:val="32"/>
        </w:rPr>
        <w:t>分，其中预算执行</w:t>
      </w:r>
      <w:r>
        <w:rPr>
          <w:rFonts w:hint="eastAsia" w:ascii="仿宋_GB2312" w:eastAsia="仿宋_GB2312"/>
          <w:sz w:val="32"/>
          <w:szCs w:val="32"/>
          <w:lang w:val="en-US" w:eastAsia="zh-CN"/>
        </w:rPr>
        <w:t>20</w:t>
      </w:r>
      <w:r>
        <w:rPr>
          <w:rFonts w:hint="eastAsia" w:ascii="仿宋_GB2312" w:eastAsia="仿宋_GB2312"/>
          <w:sz w:val="32"/>
          <w:szCs w:val="32"/>
        </w:rPr>
        <w:t>分，产出指标得分</w:t>
      </w:r>
      <w:r>
        <w:rPr>
          <w:rFonts w:hint="eastAsia" w:ascii="仿宋_GB2312" w:eastAsia="仿宋_GB2312"/>
          <w:sz w:val="32"/>
          <w:szCs w:val="32"/>
          <w:lang w:val="en-US" w:eastAsia="zh-CN"/>
        </w:rPr>
        <w:t>40</w:t>
      </w:r>
      <w:r>
        <w:rPr>
          <w:rFonts w:hint="eastAsia" w:ascii="仿宋_GB2312" w:eastAsia="仿宋_GB2312"/>
          <w:sz w:val="32"/>
          <w:szCs w:val="32"/>
        </w:rPr>
        <w:t>分，效益指标得分</w:t>
      </w:r>
      <w:r>
        <w:rPr>
          <w:rFonts w:hint="eastAsia" w:ascii="仿宋_GB2312" w:eastAsia="仿宋_GB2312"/>
          <w:sz w:val="32"/>
          <w:szCs w:val="32"/>
          <w:lang w:val="en-US" w:eastAsia="zh-CN"/>
        </w:rPr>
        <w:t>37.89</w:t>
      </w:r>
      <w:r>
        <w:rPr>
          <w:rFonts w:hint="eastAsia" w:ascii="仿宋_GB2312" w:eastAsia="仿宋_GB2312"/>
          <w:sz w:val="32"/>
          <w:szCs w:val="32"/>
        </w:rPr>
        <w:t>分。评价等级为“</w:t>
      </w:r>
      <w:r>
        <w:rPr>
          <w:rFonts w:hint="eastAsia" w:ascii="仿宋_GB2312" w:eastAsia="仿宋_GB2312"/>
          <w:sz w:val="32"/>
          <w:szCs w:val="32"/>
          <w:lang w:eastAsia="zh-CN"/>
        </w:rPr>
        <w:t>优</w:t>
      </w:r>
      <w:r>
        <w:rPr>
          <w:rFonts w:hint="eastAsia" w:ascii="仿宋_GB2312" w:eastAsia="仿宋_GB2312"/>
          <w:sz w:val="32"/>
          <w:szCs w:val="32"/>
        </w:rPr>
        <w:t>”。</w:t>
      </w:r>
    </w:p>
    <w:p>
      <w:pPr>
        <w:spacing w:line="610" w:lineRule="exact"/>
        <w:ind w:firstLine="579" w:firstLineChars="181"/>
        <w:rPr>
          <w:rFonts w:ascii="仿宋_GB2312" w:eastAsia="仿宋_GB2312"/>
          <w:sz w:val="32"/>
          <w:szCs w:val="32"/>
        </w:rPr>
      </w:pPr>
      <w:r>
        <w:rPr>
          <w:rFonts w:hint="eastAsia" w:ascii="仿宋_GB2312" w:eastAsia="仿宋_GB2312"/>
          <w:sz w:val="32"/>
          <w:szCs w:val="32"/>
        </w:rPr>
        <w:t>（一）下一步改进措施</w:t>
      </w:r>
    </w:p>
    <w:p>
      <w:pPr>
        <w:spacing w:line="420" w:lineRule="atLeast"/>
        <w:ind w:firstLine="640" w:firstLineChars="200"/>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根据学校科研项目开展的实际情况及2018年绩效目标的完成情况，下一步将更加合理地确定绩效目标的一级目标、二级目标的指标名称，准确设置绩效目标值。</w:t>
      </w:r>
    </w:p>
    <w:p>
      <w:pPr>
        <w:spacing w:line="610" w:lineRule="exact"/>
        <w:ind w:firstLine="640" w:firstLineChars="200"/>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w:t>
      </w:r>
      <w:r>
        <w:rPr>
          <w:rFonts w:hint="eastAsia" w:ascii="仿宋" w:hAnsi="仿宋" w:eastAsia="仿宋"/>
          <w:bCs/>
          <w:sz w:val="32"/>
          <w:szCs w:val="32"/>
        </w:rPr>
        <w:t>加强绩效工作培训。积极参加绩效工作培训，学习了解绩效工作的开展过程、绩效目标的定义及设置等内容。</w:t>
      </w:r>
    </w:p>
    <w:p>
      <w:pPr>
        <w:spacing w:line="610" w:lineRule="exact"/>
        <w:ind w:firstLine="640" w:firstLineChars="200"/>
        <w:rPr>
          <w:rFonts w:ascii="仿宋" w:hAnsi="仿宋" w:eastAsia="仿宋"/>
          <w:bCs/>
          <w:sz w:val="32"/>
          <w:szCs w:val="32"/>
        </w:rPr>
      </w:pPr>
      <w:r>
        <w:rPr>
          <w:rFonts w:hint="eastAsia" w:ascii="仿宋" w:hAnsi="仿宋" w:eastAsia="仿宋"/>
          <w:bCs/>
          <w:sz w:val="32"/>
          <w:szCs w:val="32"/>
        </w:rPr>
        <w:t>3</w:t>
      </w:r>
      <w:r>
        <w:rPr>
          <w:rFonts w:ascii="仿宋" w:hAnsi="仿宋" w:eastAsia="仿宋"/>
          <w:bCs/>
          <w:sz w:val="32"/>
          <w:szCs w:val="32"/>
        </w:rPr>
        <w:t>.</w:t>
      </w:r>
      <w:r>
        <w:rPr>
          <w:rFonts w:hint="eastAsia" w:ascii="仿宋" w:hAnsi="仿宋" w:eastAsia="仿宋"/>
          <w:bCs/>
          <w:sz w:val="32"/>
          <w:szCs w:val="32"/>
        </w:rPr>
        <w:t>加强沟通交流。在制定年度绩效目标时，充分与学院及相关部门沟通，了解历年科研课题绩效目标实际完成情况，在此基础上，根据现有科研课题工作进展，合理预测并设置下一年度绩效目标。</w:t>
      </w:r>
    </w:p>
    <w:p>
      <w:pPr>
        <w:spacing w:line="610" w:lineRule="exact"/>
        <w:ind w:firstLine="640" w:firstLineChars="200"/>
        <w:rPr>
          <w:rFonts w:ascii="仿宋_GB2312" w:eastAsia="仿宋_GB2312"/>
          <w:sz w:val="32"/>
          <w:szCs w:val="32"/>
        </w:rPr>
      </w:pPr>
      <w:r>
        <w:rPr>
          <w:rFonts w:hint="eastAsia" w:ascii="仿宋_GB2312" w:eastAsia="仿宋_GB2312"/>
          <w:sz w:val="32"/>
          <w:szCs w:val="32"/>
        </w:rPr>
        <w:t>（二）拟公开情况</w:t>
      </w:r>
    </w:p>
    <w:p>
      <w:pPr>
        <w:spacing w:line="610" w:lineRule="exact"/>
        <w:ind w:firstLine="640" w:firstLineChars="200"/>
        <w:rPr>
          <w:rFonts w:ascii="仿宋" w:hAnsi="仿宋" w:eastAsia="仿宋"/>
          <w:bCs/>
          <w:sz w:val="32"/>
          <w:szCs w:val="32"/>
        </w:rPr>
      </w:pPr>
      <w:r>
        <w:rPr>
          <w:rFonts w:hint="eastAsia" w:ascii="仿宋" w:hAnsi="仿宋" w:eastAsia="仿宋"/>
          <w:bCs/>
          <w:sz w:val="32"/>
          <w:szCs w:val="32"/>
        </w:rPr>
        <w:t>本次绩效评价结果将随同</w:t>
      </w:r>
      <w:r>
        <w:rPr>
          <w:rFonts w:ascii="仿宋" w:hAnsi="仿宋" w:eastAsia="仿宋"/>
          <w:bCs/>
          <w:sz w:val="32"/>
          <w:szCs w:val="32"/>
        </w:rPr>
        <w:t>2018年部门决算公开在湖北省人民政府网站和三峡大学校园网同步公开，并保持长期公开状态，接受社会各界的广泛监督。</w:t>
      </w:r>
    </w:p>
    <w:p>
      <w:pPr>
        <w:spacing w:line="610" w:lineRule="exact"/>
        <w:ind w:firstLine="640" w:firstLineChars="200"/>
        <w:rPr>
          <w:rFonts w:ascii="黑体" w:hAnsi="黑体" w:eastAsia="黑体"/>
          <w:sz w:val="32"/>
          <w:szCs w:val="32"/>
        </w:rPr>
      </w:pPr>
      <w:r>
        <w:rPr>
          <w:rFonts w:hint="eastAsia" w:ascii="黑体" w:hAnsi="黑体" w:eastAsia="黑体"/>
          <w:sz w:val="32"/>
          <w:szCs w:val="32"/>
        </w:rPr>
        <w:t>五、</w:t>
      </w:r>
      <w:r>
        <w:rPr>
          <w:rFonts w:hint="eastAsia" w:ascii="黑体" w:hAnsi="黑体" w:eastAsia="黑体" w:cs="宋体"/>
          <w:kern w:val="0"/>
          <w:sz w:val="32"/>
          <w:szCs w:val="32"/>
        </w:rPr>
        <w:t>2018年高校科研课题经费项目绩效自评表（附后）</w:t>
      </w:r>
    </w:p>
    <w:p>
      <w:pPr>
        <w:spacing w:line="610" w:lineRule="exact"/>
        <w:ind w:firstLine="6400" w:firstLineChars="2000"/>
        <w:rPr>
          <w:rFonts w:hint="eastAsia" w:ascii="仿宋_GB2312" w:eastAsia="仿宋_GB2312"/>
          <w:sz w:val="32"/>
          <w:szCs w:val="32"/>
          <w:lang w:val="en-US" w:eastAsia="zh-CN"/>
        </w:rPr>
      </w:pPr>
    </w:p>
    <w:p>
      <w:pPr>
        <w:spacing w:line="610" w:lineRule="exact"/>
        <w:ind w:firstLine="6400" w:firstLineChars="2000"/>
        <w:rPr>
          <w:rFonts w:hint="eastAsia" w:ascii="仿宋_GB2312" w:eastAsia="仿宋_GB2312"/>
          <w:sz w:val="32"/>
          <w:szCs w:val="32"/>
          <w:lang w:val="en-US" w:eastAsia="zh-CN"/>
        </w:rPr>
      </w:pPr>
    </w:p>
    <w:p>
      <w:pPr>
        <w:spacing w:line="610" w:lineRule="exact"/>
        <w:ind w:firstLine="6400" w:firstLineChars="2000"/>
        <w:rPr>
          <w:rFonts w:hint="eastAsia" w:ascii="仿宋_GB2312" w:eastAsia="仿宋_GB2312"/>
          <w:sz w:val="32"/>
          <w:szCs w:val="32"/>
          <w:lang w:val="en-US" w:eastAsia="zh-CN"/>
        </w:rPr>
      </w:pPr>
      <w:r>
        <w:rPr>
          <w:rFonts w:hint="eastAsia" w:ascii="仿宋_GB2312" w:eastAsia="仿宋_GB2312"/>
          <w:sz w:val="32"/>
          <w:szCs w:val="32"/>
          <w:lang w:val="en-US" w:eastAsia="zh-CN"/>
        </w:rPr>
        <w:t>三峡大学</w:t>
      </w:r>
    </w:p>
    <w:p>
      <w:pPr>
        <w:snapToGrid w:val="0"/>
        <w:jc w:val="right"/>
        <w:rPr>
          <w:rFonts w:hint="eastAsia" w:ascii="仿宋_GB2312" w:eastAsia="仿宋_GB2312"/>
          <w:sz w:val="32"/>
          <w:szCs w:val="32"/>
          <w:lang w:val="en-US" w:eastAsia="zh-CN"/>
        </w:rPr>
      </w:pPr>
      <w:r>
        <w:rPr>
          <w:rFonts w:hint="eastAsia" w:ascii="仿宋_GB2312" w:eastAsia="仿宋_GB2312"/>
          <w:sz w:val="32"/>
          <w:szCs w:val="32"/>
          <w:lang w:val="en-US" w:eastAsia="zh-CN"/>
        </w:rPr>
        <w:t>2019年5月20日</w:t>
      </w:r>
    </w:p>
    <w:p>
      <w:pPr>
        <w:widowControl/>
        <w:jc w:val="center"/>
        <w:rPr>
          <w:rFonts w:ascii="仿宋" w:hAnsi="仿宋" w:eastAsia="仿宋" w:cs="仿宋"/>
          <w:b/>
          <w:bCs/>
          <w:kern w:val="0"/>
          <w:sz w:val="40"/>
          <w:szCs w:val="36"/>
        </w:rPr>
      </w:pPr>
      <w:r>
        <w:rPr>
          <w:rFonts w:hint="eastAsia" w:ascii="仿宋" w:hAnsi="仿宋" w:eastAsia="仿宋" w:cs="仿宋"/>
          <w:b/>
          <w:bCs/>
          <w:kern w:val="0"/>
          <w:sz w:val="40"/>
          <w:szCs w:val="36"/>
        </w:rPr>
        <w:t>三峡大学2018年高校科研课题经费</w:t>
      </w:r>
    </w:p>
    <w:p>
      <w:pPr>
        <w:widowControl/>
        <w:jc w:val="center"/>
        <w:rPr>
          <w:rFonts w:ascii="方正小标宋_GBK" w:hAnsi="黑体" w:eastAsia="方正小标宋_GBK" w:cs="宋体"/>
          <w:kern w:val="0"/>
          <w:sz w:val="40"/>
          <w:szCs w:val="36"/>
        </w:rPr>
      </w:pPr>
      <w:r>
        <w:rPr>
          <w:rFonts w:hint="eastAsia" w:ascii="仿宋" w:hAnsi="仿宋" w:eastAsia="仿宋" w:cs="仿宋"/>
          <w:b/>
          <w:bCs/>
          <w:kern w:val="0"/>
          <w:sz w:val="40"/>
          <w:szCs w:val="36"/>
        </w:rPr>
        <w:t>项目绩效自评表</w:t>
      </w:r>
    </w:p>
    <w:p>
      <w:pPr>
        <w:widowControl/>
        <w:jc w:val="left"/>
        <w:rPr>
          <w:rFonts w:ascii="楷体_GB2312" w:hAnsi="黑体" w:eastAsia="楷体_GB2312" w:cs="宋体"/>
          <w:kern w:val="0"/>
          <w:sz w:val="48"/>
          <w:szCs w:val="36"/>
        </w:rPr>
      </w:pPr>
      <w:r>
        <w:rPr>
          <w:rFonts w:hint="eastAsia" w:ascii="楷体_GB2312" w:hAnsi="宋体" w:eastAsia="楷体_GB2312" w:cs="宋体"/>
          <w:kern w:val="0"/>
          <w:sz w:val="24"/>
          <w:szCs w:val="20"/>
        </w:rPr>
        <w:t>填报日期：2019年</w:t>
      </w:r>
      <w:r>
        <w:rPr>
          <w:rFonts w:hint="eastAsia" w:ascii="楷体_GB2312" w:hAnsi="宋体" w:eastAsia="楷体_GB2312" w:cs="宋体"/>
          <w:kern w:val="0"/>
          <w:sz w:val="24"/>
          <w:szCs w:val="20"/>
          <w:lang w:val="en-US" w:eastAsia="zh-CN"/>
        </w:rPr>
        <w:t>5</w:t>
      </w:r>
      <w:r>
        <w:rPr>
          <w:rFonts w:hint="eastAsia" w:ascii="楷体_GB2312" w:hAnsi="宋体" w:eastAsia="楷体_GB2312" w:cs="宋体"/>
          <w:kern w:val="0"/>
          <w:sz w:val="24"/>
          <w:szCs w:val="20"/>
        </w:rPr>
        <w:t>月</w:t>
      </w:r>
      <w:r>
        <w:rPr>
          <w:rFonts w:hint="eastAsia" w:ascii="楷体_GB2312" w:hAnsi="宋体" w:eastAsia="楷体_GB2312" w:cs="宋体"/>
          <w:kern w:val="0"/>
          <w:sz w:val="24"/>
          <w:szCs w:val="20"/>
          <w:lang w:val="en-US" w:eastAsia="zh-CN"/>
        </w:rPr>
        <w:t>2</w:t>
      </w:r>
      <w:r>
        <w:rPr>
          <w:rFonts w:hint="eastAsia" w:ascii="楷体_GB2312" w:hAnsi="宋体" w:eastAsia="楷体_GB2312" w:cs="宋体"/>
          <w:kern w:val="0"/>
          <w:sz w:val="24"/>
          <w:szCs w:val="20"/>
        </w:rPr>
        <w:t>0日</w:t>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ascii="楷体_GB2312" w:hAnsi="宋体" w:eastAsia="楷体_GB2312" w:cs="宋体"/>
          <w:kern w:val="0"/>
          <w:sz w:val="24"/>
          <w:szCs w:val="20"/>
        </w:rPr>
        <w:tab/>
      </w:r>
      <w:r>
        <w:rPr>
          <w:rFonts w:hint="eastAsia" w:ascii="楷体_GB2312" w:hAnsi="宋体" w:eastAsia="楷体_GB2312" w:cs="宋体"/>
          <w:kern w:val="0"/>
          <w:sz w:val="24"/>
          <w:szCs w:val="20"/>
        </w:rPr>
        <w:t>总分：97.89</w:t>
      </w:r>
    </w:p>
    <w:tbl>
      <w:tblPr>
        <w:tblStyle w:val="5"/>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122"/>
        <w:gridCol w:w="1319"/>
        <w:gridCol w:w="923"/>
        <w:gridCol w:w="394"/>
        <w:gridCol w:w="1465"/>
        <w:gridCol w:w="660"/>
        <w:gridCol w:w="658"/>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项目名称</w:t>
            </w:r>
          </w:p>
        </w:tc>
        <w:tc>
          <w:tcPr>
            <w:tcW w:w="7418" w:type="dxa"/>
            <w:gridSpan w:val="8"/>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2018年高校科研课题经费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主管部门</w:t>
            </w:r>
          </w:p>
        </w:tc>
        <w:tc>
          <w:tcPr>
            <w:tcW w:w="3364" w:type="dxa"/>
            <w:gridSpan w:val="3"/>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湖北省教育厅</w:t>
            </w:r>
          </w:p>
        </w:tc>
        <w:tc>
          <w:tcPr>
            <w:tcW w:w="2519" w:type="dxa"/>
            <w:gridSpan w:val="3"/>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项目实施单位</w:t>
            </w:r>
          </w:p>
        </w:tc>
        <w:tc>
          <w:tcPr>
            <w:tcW w:w="1535" w:type="dxa"/>
            <w:gridSpan w:val="2"/>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三峡大学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项目类别</w:t>
            </w:r>
          </w:p>
        </w:tc>
        <w:tc>
          <w:tcPr>
            <w:tcW w:w="7418" w:type="dxa"/>
            <w:gridSpan w:val="8"/>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1、部门预算项目   </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 xml:space="preserve">  2、省直专项   </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 xml:space="preserve">  3、省对下转移支付项目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项目属性</w:t>
            </w:r>
          </w:p>
        </w:tc>
        <w:tc>
          <w:tcPr>
            <w:tcW w:w="7418" w:type="dxa"/>
            <w:gridSpan w:val="8"/>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1、持续性项目   </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 xml:space="preserve">   2、新增性项目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项目类型</w:t>
            </w:r>
          </w:p>
        </w:tc>
        <w:tc>
          <w:tcPr>
            <w:tcW w:w="7418" w:type="dxa"/>
            <w:gridSpan w:val="8"/>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1、常年性项目   </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 xml:space="preserve">   2、延续性项目 □      3、一次性项目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restart"/>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预算执行情况（万元）</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（20分）</w:t>
            </w:r>
          </w:p>
        </w:tc>
        <w:tc>
          <w:tcPr>
            <w:tcW w:w="1122"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319"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预算数（A)</w:t>
            </w:r>
          </w:p>
        </w:tc>
        <w:tc>
          <w:tcPr>
            <w:tcW w:w="1317" w:type="dxa"/>
            <w:gridSpan w:val="2"/>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执行数(B)</w:t>
            </w:r>
          </w:p>
        </w:tc>
        <w:tc>
          <w:tcPr>
            <w:tcW w:w="1465" w:type="dxa"/>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执行率(B/A)</w:t>
            </w:r>
          </w:p>
        </w:tc>
        <w:tc>
          <w:tcPr>
            <w:tcW w:w="2195" w:type="dxa"/>
            <w:gridSpan w:val="3"/>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得分（20分*执行率）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noWrap/>
            <w:vAlign w:val="center"/>
          </w:tcPr>
          <w:p>
            <w:pPr>
              <w:widowControl/>
              <w:jc w:val="left"/>
              <w:rPr>
                <w:rFonts w:ascii="仿宋_GB2312" w:hAnsi="宋体" w:eastAsia="仿宋_GB2312" w:cs="宋体"/>
                <w:kern w:val="0"/>
                <w:szCs w:val="21"/>
              </w:rPr>
            </w:pPr>
          </w:p>
        </w:tc>
        <w:tc>
          <w:tcPr>
            <w:tcW w:w="1122" w:type="dxa"/>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年度财政资金总额</w:t>
            </w:r>
          </w:p>
        </w:tc>
        <w:tc>
          <w:tcPr>
            <w:tcW w:w="1319"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2800</w:t>
            </w:r>
          </w:p>
        </w:tc>
        <w:tc>
          <w:tcPr>
            <w:tcW w:w="1317" w:type="dxa"/>
            <w:gridSpan w:val="2"/>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3777</w:t>
            </w:r>
          </w:p>
        </w:tc>
        <w:tc>
          <w:tcPr>
            <w:tcW w:w="1465"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135%</w:t>
            </w:r>
          </w:p>
        </w:tc>
        <w:tc>
          <w:tcPr>
            <w:tcW w:w="2195" w:type="dxa"/>
            <w:gridSpan w:val="3"/>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1122"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2636" w:type="dxa"/>
            <w:gridSpan w:val="3"/>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465"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年初目标值（A)</w:t>
            </w:r>
          </w:p>
        </w:tc>
        <w:tc>
          <w:tcPr>
            <w:tcW w:w="1318" w:type="dxa"/>
            <w:gridSpan w:val="2"/>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实际完成值(B)</w:t>
            </w:r>
          </w:p>
        </w:tc>
        <w:tc>
          <w:tcPr>
            <w:tcW w:w="877"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restart"/>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产出指标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（40分）</w:t>
            </w:r>
          </w:p>
        </w:tc>
        <w:tc>
          <w:tcPr>
            <w:tcW w:w="1122"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636" w:type="dxa"/>
            <w:gridSpan w:val="3"/>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国家基金项目数</w:t>
            </w:r>
          </w:p>
        </w:tc>
        <w:tc>
          <w:tcPr>
            <w:tcW w:w="1465"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60</w:t>
            </w:r>
          </w:p>
        </w:tc>
        <w:tc>
          <w:tcPr>
            <w:tcW w:w="1318" w:type="dxa"/>
            <w:gridSpan w:val="2"/>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62</w:t>
            </w:r>
          </w:p>
        </w:tc>
        <w:tc>
          <w:tcPr>
            <w:tcW w:w="877"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noWrap/>
            <w:vAlign w:val="center"/>
          </w:tcPr>
          <w:p>
            <w:pPr>
              <w:widowControl/>
              <w:jc w:val="left"/>
              <w:rPr>
                <w:rFonts w:ascii="仿宋_GB2312" w:hAnsi="宋体" w:eastAsia="仿宋_GB2312" w:cs="宋体"/>
                <w:kern w:val="0"/>
                <w:szCs w:val="21"/>
              </w:rPr>
            </w:pPr>
          </w:p>
        </w:tc>
        <w:tc>
          <w:tcPr>
            <w:tcW w:w="1122"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636" w:type="dxa"/>
            <w:gridSpan w:val="3"/>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授权发明专利数</w:t>
            </w:r>
          </w:p>
        </w:tc>
        <w:tc>
          <w:tcPr>
            <w:tcW w:w="1465"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180</w:t>
            </w:r>
          </w:p>
        </w:tc>
        <w:tc>
          <w:tcPr>
            <w:tcW w:w="1318" w:type="dxa"/>
            <w:gridSpan w:val="2"/>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242</w:t>
            </w:r>
          </w:p>
        </w:tc>
        <w:tc>
          <w:tcPr>
            <w:tcW w:w="877"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noWrap/>
            <w:vAlign w:val="center"/>
          </w:tcPr>
          <w:p>
            <w:pPr>
              <w:widowControl/>
              <w:jc w:val="left"/>
              <w:rPr>
                <w:rFonts w:ascii="仿宋_GB2312" w:hAnsi="宋体" w:eastAsia="仿宋_GB2312" w:cs="宋体"/>
                <w:kern w:val="0"/>
                <w:szCs w:val="21"/>
              </w:rPr>
            </w:pPr>
          </w:p>
        </w:tc>
        <w:tc>
          <w:tcPr>
            <w:tcW w:w="1122"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2636" w:type="dxa"/>
            <w:gridSpan w:val="3"/>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第一单位省部级奖励</w:t>
            </w:r>
          </w:p>
        </w:tc>
        <w:tc>
          <w:tcPr>
            <w:tcW w:w="1465"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318" w:type="dxa"/>
            <w:gridSpan w:val="2"/>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14</w:t>
            </w:r>
          </w:p>
        </w:tc>
        <w:tc>
          <w:tcPr>
            <w:tcW w:w="877"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noWrap/>
            <w:vAlign w:val="center"/>
          </w:tcPr>
          <w:p>
            <w:pPr>
              <w:widowControl/>
              <w:jc w:val="left"/>
              <w:rPr>
                <w:rFonts w:ascii="仿宋_GB2312" w:hAnsi="宋体" w:eastAsia="仿宋_GB2312" w:cs="宋体"/>
                <w:kern w:val="0"/>
                <w:szCs w:val="21"/>
              </w:rPr>
            </w:pPr>
          </w:p>
        </w:tc>
        <w:tc>
          <w:tcPr>
            <w:tcW w:w="1122"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2636" w:type="dxa"/>
            <w:gridSpan w:val="3"/>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三大检索期刊论文数</w:t>
            </w:r>
          </w:p>
        </w:tc>
        <w:tc>
          <w:tcPr>
            <w:tcW w:w="1465"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250</w:t>
            </w:r>
          </w:p>
        </w:tc>
        <w:tc>
          <w:tcPr>
            <w:tcW w:w="1318" w:type="dxa"/>
            <w:gridSpan w:val="2"/>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374</w:t>
            </w:r>
          </w:p>
        </w:tc>
        <w:tc>
          <w:tcPr>
            <w:tcW w:w="877"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restart"/>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效益指标</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（40分）</w:t>
            </w:r>
          </w:p>
        </w:tc>
        <w:tc>
          <w:tcPr>
            <w:tcW w:w="1122"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2636" w:type="dxa"/>
            <w:gridSpan w:val="3"/>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纵向合同经费</w:t>
            </w:r>
          </w:p>
        </w:tc>
        <w:tc>
          <w:tcPr>
            <w:tcW w:w="1465"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4500</w:t>
            </w:r>
          </w:p>
        </w:tc>
        <w:tc>
          <w:tcPr>
            <w:tcW w:w="1318" w:type="dxa"/>
            <w:gridSpan w:val="2"/>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4025.78</w:t>
            </w:r>
          </w:p>
        </w:tc>
        <w:tc>
          <w:tcPr>
            <w:tcW w:w="877"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8" w:type="dxa"/>
            <w:vMerge w:val="continue"/>
            <w:noWrap/>
            <w:vAlign w:val="center"/>
          </w:tcPr>
          <w:p>
            <w:pPr>
              <w:widowControl/>
              <w:jc w:val="left"/>
              <w:rPr>
                <w:rFonts w:ascii="仿宋_GB2312" w:hAnsi="宋体" w:eastAsia="仿宋_GB2312" w:cs="宋体"/>
                <w:kern w:val="0"/>
                <w:szCs w:val="21"/>
              </w:rPr>
            </w:pPr>
          </w:p>
        </w:tc>
        <w:tc>
          <w:tcPr>
            <w:tcW w:w="1122"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2636" w:type="dxa"/>
            <w:gridSpan w:val="3"/>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纵向到账经费</w:t>
            </w:r>
          </w:p>
        </w:tc>
        <w:tc>
          <w:tcPr>
            <w:tcW w:w="1465"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3000</w:t>
            </w:r>
          </w:p>
        </w:tc>
        <w:tc>
          <w:tcPr>
            <w:tcW w:w="1318" w:type="dxa"/>
            <w:gridSpan w:val="2"/>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3288.76</w:t>
            </w:r>
          </w:p>
        </w:tc>
        <w:tc>
          <w:tcPr>
            <w:tcW w:w="877" w:type="dxa"/>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946" w:type="dxa"/>
            <w:gridSpan w:val="9"/>
            <w:noWrap/>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备注：</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1.预算执行情况口径：预算数为调整后财政资金总额（包括上年结余结转），执行数为资金使用单位财政资金实际支出数。</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2.定量指标完成数汇总原则：绝对值直接累加计算，相对值按照资金额度加权平均计算。定量指标计分原则：正向指标（即目标值为≥X,得分=权重*B/A），反向指标（即目标值为≤X，得分=权重*A/B)，得分不得突破权重总额。定量指标先汇总完成数，再计算得分。</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3.定性指标计分原则：达成预期指标、部分达成预期指标并具有一定效果、未达成预期指标且效果较差三档，分别按照该指标对应分值区间100-80%（含80%）、80-50%（含50%）、50-0%合理确定分值。汇总时，以资金额度为权重，对分值进行加权平均计算。</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4.</w:t>
            </w:r>
            <w:r>
              <w:rPr>
                <w:rFonts w:hint="eastAsia" w:ascii="仿宋_GB2312" w:hAnsi="宋体" w:eastAsia="仿宋_GB2312" w:cs="宋体"/>
                <w:b/>
                <w:bCs/>
                <w:kern w:val="0"/>
                <w:szCs w:val="21"/>
              </w:rPr>
              <w:t>基于经济性和必要性等因素考虑，满意度指标暂可不作为必评指标。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4B52D"/>
    <w:multiLevelType w:val="singleLevel"/>
    <w:tmpl w:val="6F14B52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670A"/>
    <w:rsid w:val="00017D89"/>
    <w:rsid w:val="0002004E"/>
    <w:rsid w:val="000377F2"/>
    <w:rsid w:val="000B3E36"/>
    <w:rsid w:val="000B5394"/>
    <w:rsid w:val="00134EF7"/>
    <w:rsid w:val="00156542"/>
    <w:rsid w:val="001B6970"/>
    <w:rsid w:val="001E0BF1"/>
    <w:rsid w:val="00236EEE"/>
    <w:rsid w:val="0026206D"/>
    <w:rsid w:val="00285A21"/>
    <w:rsid w:val="002E2D69"/>
    <w:rsid w:val="003A6D8C"/>
    <w:rsid w:val="004A5069"/>
    <w:rsid w:val="004A57C0"/>
    <w:rsid w:val="004D2251"/>
    <w:rsid w:val="004E276C"/>
    <w:rsid w:val="00506DE0"/>
    <w:rsid w:val="00567CBE"/>
    <w:rsid w:val="00571160"/>
    <w:rsid w:val="005970B6"/>
    <w:rsid w:val="005A670A"/>
    <w:rsid w:val="005F0BA3"/>
    <w:rsid w:val="00695B26"/>
    <w:rsid w:val="006F3FEE"/>
    <w:rsid w:val="00700FFB"/>
    <w:rsid w:val="00740B2B"/>
    <w:rsid w:val="0078225A"/>
    <w:rsid w:val="00807304"/>
    <w:rsid w:val="0087183C"/>
    <w:rsid w:val="008B4129"/>
    <w:rsid w:val="008B6662"/>
    <w:rsid w:val="009121AB"/>
    <w:rsid w:val="00965FCA"/>
    <w:rsid w:val="00A30E97"/>
    <w:rsid w:val="00A3677E"/>
    <w:rsid w:val="00A70B56"/>
    <w:rsid w:val="00AD6AD0"/>
    <w:rsid w:val="00B17EF8"/>
    <w:rsid w:val="00B61BD1"/>
    <w:rsid w:val="00B8621D"/>
    <w:rsid w:val="00B86E9A"/>
    <w:rsid w:val="00BB1865"/>
    <w:rsid w:val="00BE5C02"/>
    <w:rsid w:val="00BF00E3"/>
    <w:rsid w:val="00C2457B"/>
    <w:rsid w:val="00C32B25"/>
    <w:rsid w:val="00CF6C1E"/>
    <w:rsid w:val="00DD46F6"/>
    <w:rsid w:val="00DF3844"/>
    <w:rsid w:val="00E00ED2"/>
    <w:rsid w:val="00E54E1B"/>
    <w:rsid w:val="00EC0AA3"/>
    <w:rsid w:val="00F01D88"/>
    <w:rsid w:val="00F61CCA"/>
    <w:rsid w:val="00FB771B"/>
    <w:rsid w:val="00FC740D"/>
    <w:rsid w:val="011E3406"/>
    <w:rsid w:val="044D42CF"/>
    <w:rsid w:val="04617CDF"/>
    <w:rsid w:val="0E666415"/>
    <w:rsid w:val="1093718F"/>
    <w:rsid w:val="13A47AF4"/>
    <w:rsid w:val="158A7BA0"/>
    <w:rsid w:val="175F3FBA"/>
    <w:rsid w:val="178A7B03"/>
    <w:rsid w:val="1AF57E38"/>
    <w:rsid w:val="1F671830"/>
    <w:rsid w:val="273B4BE5"/>
    <w:rsid w:val="28955F0F"/>
    <w:rsid w:val="28DE28E4"/>
    <w:rsid w:val="2CF70402"/>
    <w:rsid w:val="2EEB13CE"/>
    <w:rsid w:val="30D03603"/>
    <w:rsid w:val="31EE6A14"/>
    <w:rsid w:val="33DE7F13"/>
    <w:rsid w:val="35E55F2C"/>
    <w:rsid w:val="39AC587B"/>
    <w:rsid w:val="3B8B6804"/>
    <w:rsid w:val="3CEA02AF"/>
    <w:rsid w:val="3F0E297D"/>
    <w:rsid w:val="405870E6"/>
    <w:rsid w:val="40970E40"/>
    <w:rsid w:val="415358E1"/>
    <w:rsid w:val="41DC3626"/>
    <w:rsid w:val="42F26CBD"/>
    <w:rsid w:val="47C22E1D"/>
    <w:rsid w:val="4B931EB9"/>
    <w:rsid w:val="51294BDD"/>
    <w:rsid w:val="53F27941"/>
    <w:rsid w:val="54843EA4"/>
    <w:rsid w:val="5B194D97"/>
    <w:rsid w:val="5B6A4CCC"/>
    <w:rsid w:val="5F180C9E"/>
    <w:rsid w:val="5F5B533C"/>
    <w:rsid w:val="636547BC"/>
    <w:rsid w:val="678C0BCC"/>
    <w:rsid w:val="6BE700B3"/>
    <w:rsid w:val="79712933"/>
    <w:rsid w:val="7E8762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unhideWhenUsed/>
    <w:qFormat/>
    <w:uiPriority w:val="99"/>
    <w:pPr>
      <w:ind w:firstLine="420" w:firstLineChars="200"/>
    </w:pPr>
  </w:style>
  <w:style w:type="character" w:customStyle="1" w:styleId="10">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609</Words>
  <Characters>3472</Characters>
  <Lines>28</Lines>
  <Paragraphs>8</Paragraphs>
  <TotalTime>0</TotalTime>
  <ScaleCrop>false</ScaleCrop>
  <LinksUpToDate>false</LinksUpToDate>
  <CharactersWithSpaces>4073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2019-04-16T00:24:00Z</dcterms:created>
  <dc:creator>王朝稳</dc:creator>
  <cp:lastModifiedBy>郭洁</cp:lastModifiedBy>
  <cp:lastPrinted>2019-05-05T07:44:00Z</cp:lastPrinted>
  <dcterms:modified xsi:type="dcterms:W3CDTF">2019-08-26T09:21:07Z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