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2018年度高校基本建设专项绩效自评</w:t>
      </w:r>
      <w:r>
        <w:rPr>
          <w:rFonts w:hint="eastAsia" w:ascii="仿宋" w:hAnsi="仿宋" w:eastAsia="仿宋" w:cs="仿宋"/>
          <w:b/>
          <w:bCs/>
          <w:sz w:val="44"/>
          <w:szCs w:val="44"/>
          <w:lang w:eastAsia="zh-CN"/>
        </w:rPr>
        <w:t>报告</w:t>
      </w:r>
    </w:p>
    <w:p>
      <w:pPr>
        <w:jc w:val="center"/>
        <w:rPr>
          <w:rFonts w:ascii="仿宋_GB2312"/>
          <w:sz w:val="32"/>
          <w:szCs w:val="32"/>
        </w:rPr>
      </w:pPr>
    </w:p>
    <w:p>
      <w:pPr>
        <w:spacing w:line="61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（一）立项目的和年度绩效目标</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1、立项目的</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高压大厅项目是电气与新能源学院国家级重点实验室的重要组成部分，主要用于教学和实验；生物制药与材料化工教学实验中心楼项目（以下称“生材楼项目”）主要建设学院教学和实验用房、分析测试中心、图书馆分馆、校史馆以及标本馆等，服务于地方经济发展，极大拉升相关学科在鄂西渝东区域的影响力；水利水电与环境工程教学实验中心楼项目（以下称“水环楼项目”）入围国家中西部高校基础能力建设工程（二期），原校医院位于该项目红线范围内，加之原校医院年久失修、医疗条件落后，卫生保健服务功能弱化，新建校医院可有效改善全校师生的就医条件；云林路校内段（sogo至西苑铁门）串联校内诸多不同类型的建筑，人多车多，受限于现状道路宽度，安全隐患大，综合改造后可拓宽道路、黑化路面、整治环境，成为学校对外的一个窗口。</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2、年度绩效目标</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（1）年度目标</w:t>
      </w:r>
      <w:r>
        <w:rPr>
          <w:rFonts w:ascii="仿宋_GB2312" w:eastAsia="仿宋_GB2312"/>
          <w:sz w:val="32"/>
          <w:szCs w:val="32"/>
        </w:rPr>
        <w:t>1：</w:t>
      </w:r>
      <w:r>
        <w:rPr>
          <w:rFonts w:hint="eastAsia" w:ascii="仿宋_GB2312" w:eastAsia="仿宋_GB2312"/>
          <w:sz w:val="32"/>
          <w:szCs w:val="32"/>
        </w:rPr>
        <w:t>按时保质完成高压大厅项目，投资控制合格率</w:t>
      </w:r>
      <w:r>
        <w:rPr>
          <w:rFonts w:ascii="仿宋_GB2312" w:eastAsia="仿宋_GB2312"/>
          <w:sz w:val="32"/>
          <w:szCs w:val="32"/>
        </w:rPr>
        <w:t>100%</w:t>
      </w:r>
      <w:r>
        <w:rPr>
          <w:rFonts w:hint="eastAsia" w:ascii="仿宋_GB2312" w:eastAsia="仿宋_GB2312"/>
          <w:sz w:val="32"/>
          <w:szCs w:val="32"/>
        </w:rPr>
        <w:t>；</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）年度目标</w:t>
      </w:r>
      <w:r>
        <w:rPr>
          <w:rFonts w:ascii="仿宋_GB2312" w:eastAsia="仿宋_GB2312"/>
          <w:sz w:val="32"/>
          <w:szCs w:val="32"/>
        </w:rPr>
        <w:t>2：</w:t>
      </w:r>
      <w:r>
        <w:rPr>
          <w:rFonts w:hint="eastAsia" w:ascii="仿宋_GB2312" w:eastAsia="仿宋_GB2312"/>
          <w:sz w:val="32"/>
          <w:szCs w:val="32"/>
        </w:rPr>
        <w:t>按时保质完成生材楼初步设计审批，投资控制合格率</w:t>
      </w:r>
      <w:r>
        <w:rPr>
          <w:rFonts w:ascii="仿宋_GB2312" w:eastAsia="仿宋_GB2312"/>
          <w:sz w:val="32"/>
          <w:szCs w:val="32"/>
        </w:rPr>
        <w:t>100%</w:t>
      </w:r>
      <w:r>
        <w:rPr>
          <w:rFonts w:hint="eastAsia" w:ascii="仿宋_GB2312" w:eastAsia="仿宋_GB2312"/>
          <w:sz w:val="32"/>
          <w:szCs w:val="32"/>
        </w:rPr>
        <w:t>；</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）年度目标</w:t>
      </w:r>
      <w:r>
        <w:rPr>
          <w:rFonts w:ascii="仿宋_GB2312" w:eastAsia="仿宋_GB2312"/>
          <w:sz w:val="32"/>
          <w:szCs w:val="32"/>
        </w:rPr>
        <w:t>3：</w:t>
      </w:r>
      <w:r>
        <w:rPr>
          <w:rFonts w:hint="eastAsia" w:ascii="仿宋_GB2312" w:eastAsia="仿宋_GB2312"/>
          <w:sz w:val="32"/>
          <w:szCs w:val="32"/>
        </w:rPr>
        <w:t>按时保质完成校医院迁建项目主体结构，投资控制合格率</w:t>
      </w:r>
      <w:r>
        <w:rPr>
          <w:rFonts w:ascii="仿宋_GB2312" w:eastAsia="仿宋_GB2312"/>
          <w:sz w:val="32"/>
          <w:szCs w:val="32"/>
        </w:rPr>
        <w:t>100%</w:t>
      </w:r>
      <w:r>
        <w:rPr>
          <w:rFonts w:hint="eastAsia" w:ascii="仿宋_GB2312" w:eastAsia="仿宋_GB2312"/>
          <w:sz w:val="32"/>
          <w:szCs w:val="32"/>
        </w:rPr>
        <w:t>；</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）年度目标</w:t>
      </w:r>
      <w:r>
        <w:rPr>
          <w:rFonts w:ascii="仿宋_GB2312" w:eastAsia="仿宋_GB2312"/>
          <w:sz w:val="32"/>
          <w:szCs w:val="32"/>
        </w:rPr>
        <w:t>4：</w:t>
      </w:r>
      <w:r>
        <w:rPr>
          <w:rFonts w:hint="eastAsia" w:ascii="仿宋_GB2312" w:eastAsia="仿宋_GB2312"/>
          <w:sz w:val="32"/>
          <w:szCs w:val="32"/>
        </w:rPr>
        <w:t>按时保质完成接待中心至</w:t>
      </w:r>
      <w:r>
        <w:rPr>
          <w:rFonts w:ascii="仿宋_GB2312" w:eastAsia="仿宋_GB2312"/>
          <w:sz w:val="32"/>
          <w:szCs w:val="32"/>
        </w:rPr>
        <w:t>sogo及周边道路黑化项目</w:t>
      </w:r>
      <w:r>
        <w:rPr>
          <w:rFonts w:hint="eastAsia" w:ascii="仿宋_GB2312" w:eastAsia="仿宋_GB2312"/>
          <w:sz w:val="32"/>
          <w:szCs w:val="32"/>
        </w:rPr>
        <w:t>，</w:t>
      </w:r>
      <w:r>
        <w:rPr>
          <w:rFonts w:ascii="仿宋_GB2312" w:eastAsia="仿宋_GB2312"/>
          <w:sz w:val="32"/>
          <w:szCs w:val="32"/>
        </w:rPr>
        <w:t>投资控制合格率100%。</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（二）项目资金情况</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018</w:t>
      </w:r>
      <w:r>
        <w:rPr>
          <w:rFonts w:hint="eastAsia" w:ascii="仿宋_GB2312" w:eastAsia="仿宋_GB2312"/>
          <w:sz w:val="32"/>
          <w:szCs w:val="32"/>
        </w:rPr>
        <w:t>年高校基本建设专项共安排资金2</w:t>
      </w:r>
      <w:r>
        <w:rPr>
          <w:rFonts w:ascii="仿宋_GB2312" w:eastAsia="仿宋_GB2312"/>
          <w:sz w:val="32"/>
          <w:szCs w:val="32"/>
        </w:rPr>
        <w:t>800</w:t>
      </w:r>
      <w:r>
        <w:rPr>
          <w:rFonts w:hint="eastAsia" w:ascii="仿宋_GB2312" w:eastAsia="仿宋_GB2312"/>
          <w:sz w:val="32"/>
          <w:szCs w:val="32"/>
        </w:rPr>
        <w:t>万元，其中一般公共预算财政拨款9</w:t>
      </w:r>
      <w:r>
        <w:rPr>
          <w:rFonts w:ascii="仿宋_GB2312" w:eastAsia="仿宋_GB2312"/>
          <w:sz w:val="32"/>
          <w:szCs w:val="32"/>
        </w:rPr>
        <w:t>00</w:t>
      </w:r>
      <w:r>
        <w:rPr>
          <w:rFonts w:hint="eastAsia" w:ascii="仿宋_GB2312" w:eastAsia="仿宋_GB2312"/>
          <w:sz w:val="32"/>
          <w:szCs w:val="32"/>
        </w:rPr>
        <w:t>万元，其他资金1</w:t>
      </w:r>
      <w:r>
        <w:rPr>
          <w:rFonts w:ascii="仿宋_GB2312" w:eastAsia="仿宋_GB2312"/>
          <w:sz w:val="32"/>
          <w:szCs w:val="32"/>
        </w:rPr>
        <w:t>900</w:t>
      </w:r>
      <w:r>
        <w:rPr>
          <w:rFonts w:hint="eastAsia" w:ascii="仿宋_GB2312" w:eastAsia="仿宋_GB2312"/>
          <w:sz w:val="32"/>
          <w:szCs w:val="32"/>
        </w:rPr>
        <w:t>万元；项目支出明细含其他资本性支出和商品服务支出，分别为6</w:t>
      </w:r>
      <w:r>
        <w:rPr>
          <w:rFonts w:ascii="仿宋_GB2312" w:eastAsia="仿宋_GB2312"/>
          <w:sz w:val="32"/>
          <w:szCs w:val="32"/>
        </w:rPr>
        <w:t>50</w:t>
      </w:r>
      <w:r>
        <w:rPr>
          <w:rFonts w:hint="eastAsia" w:ascii="仿宋_GB2312" w:eastAsia="仿宋_GB2312"/>
          <w:sz w:val="32"/>
          <w:szCs w:val="32"/>
        </w:rPr>
        <w:t>万元和2</w:t>
      </w:r>
      <w:r>
        <w:rPr>
          <w:rFonts w:ascii="仿宋_GB2312" w:eastAsia="仿宋_GB2312"/>
          <w:sz w:val="32"/>
          <w:szCs w:val="32"/>
        </w:rPr>
        <w:t>150</w:t>
      </w:r>
      <w:r>
        <w:rPr>
          <w:rFonts w:hint="eastAsia" w:ascii="仿宋_GB2312" w:eastAsia="仿宋_GB2312"/>
          <w:sz w:val="32"/>
          <w:szCs w:val="32"/>
        </w:rPr>
        <w:t>万元；高压大厅、校医院等属于延续性项目，高压大厅实施周期为2</w:t>
      </w:r>
      <w:r>
        <w:rPr>
          <w:rFonts w:ascii="仿宋_GB2312" w:eastAsia="仿宋_GB2312"/>
          <w:sz w:val="32"/>
          <w:szCs w:val="32"/>
        </w:rPr>
        <w:t>017</w:t>
      </w:r>
      <w:r>
        <w:rPr>
          <w:rFonts w:hint="eastAsia" w:ascii="仿宋" w:hAnsi="仿宋" w:eastAsia="仿宋"/>
          <w:sz w:val="32"/>
          <w:szCs w:val="32"/>
        </w:rPr>
        <w:t>～</w:t>
      </w:r>
      <w:r>
        <w:rPr>
          <w:rFonts w:ascii="仿宋_GB2312" w:eastAsia="仿宋_GB2312"/>
          <w:sz w:val="32"/>
          <w:szCs w:val="32"/>
        </w:rPr>
        <w:t>2018</w:t>
      </w:r>
      <w:r>
        <w:rPr>
          <w:rFonts w:hint="eastAsia" w:ascii="仿宋_GB2312" w:eastAsia="仿宋_GB2312"/>
          <w:sz w:val="32"/>
          <w:szCs w:val="32"/>
        </w:rPr>
        <w:t>年，校医院实施周期为2</w:t>
      </w:r>
      <w:r>
        <w:rPr>
          <w:rFonts w:ascii="仿宋_GB2312" w:eastAsia="仿宋_GB2312"/>
          <w:sz w:val="32"/>
          <w:szCs w:val="32"/>
        </w:rPr>
        <w:t>018</w:t>
      </w:r>
      <w:r>
        <w:rPr>
          <w:rFonts w:hint="eastAsia" w:ascii="仿宋" w:hAnsi="仿宋" w:eastAsia="仿宋"/>
          <w:sz w:val="32"/>
          <w:szCs w:val="32"/>
        </w:rPr>
        <w:t>～</w:t>
      </w:r>
      <w:r>
        <w:rPr>
          <w:rFonts w:ascii="仿宋_GB2312" w:eastAsia="仿宋_GB2312"/>
          <w:sz w:val="32"/>
          <w:szCs w:val="32"/>
        </w:rPr>
        <w:t>2019</w:t>
      </w:r>
      <w:r>
        <w:rPr>
          <w:rFonts w:hint="eastAsia" w:ascii="仿宋_GB2312" w:eastAsia="仿宋_GB2312"/>
          <w:sz w:val="32"/>
          <w:szCs w:val="32"/>
        </w:rPr>
        <w:t>年。</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二、绩效自评工作开展情况</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根据有关文件精神</w:t>
      </w:r>
      <w:r>
        <w:rPr>
          <w:rFonts w:ascii="仿宋_GB2312" w:hAnsi="楷体" w:eastAsia="仿宋_GB2312"/>
          <w:kern w:val="0"/>
          <w:sz w:val="32"/>
          <w:szCs w:val="32"/>
        </w:rPr>
        <w:t>，</w:t>
      </w:r>
      <w:r>
        <w:rPr>
          <w:rFonts w:hint="eastAsia" w:ascii="仿宋_GB2312" w:hAnsi="楷体" w:eastAsia="仿宋_GB2312"/>
          <w:kern w:val="0"/>
          <w:sz w:val="32"/>
          <w:szCs w:val="32"/>
        </w:rPr>
        <w:t>校园规划与建设处</w:t>
      </w:r>
      <w:r>
        <w:rPr>
          <w:rFonts w:ascii="仿宋_GB2312" w:hAnsi="楷体" w:eastAsia="仿宋_GB2312"/>
          <w:kern w:val="0"/>
          <w:sz w:val="32"/>
          <w:szCs w:val="32"/>
        </w:rPr>
        <w:t>作为</w:t>
      </w:r>
      <w:r>
        <w:rPr>
          <w:rFonts w:hint="eastAsia" w:ascii="仿宋_GB2312" w:hAnsi="楷体" w:eastAsia="仿宋_GB2312"/>
          <w:kern w:val="0"/>
          <w:sz w:val="32"/>
          <w:szCs w:val="32"/>
        </w:rPr>
        <w:t>高校基本建设专项</w:t>
      </w:r>
      <w:r>
        <w:rPr>
          <w:rFonts w:ascii="仿宋_GB2312" w:hAnsi="楷体" w:eastAsia="仿宋_GB2312"/>
          <w:kern w:val="0"/>
          <w:sz w:val="32"/>
          <w:szCs w:val="32"/>
        </w:rPr>
        <w:t>的归口责任单位，负责组织项目的绩效自评工作，填写自评表并撰写自评报告。具体组织实施过程如下：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（一）指标体系建立阶段。根据年度绩效总目标及年度绩效目标设置情况，结合相关文件要求，依据每项指标的重要程度对其赋值。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（二）前期资料收集阶段。结合年度绩效总目标及年度绩效目标设置情况，向相关科室收集项目收支明细以及年度横向科研经费到账明细，并对资料进行全面核实汇总。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（三）绩效指标评分阶段。根据资料收集情况，对指标体系进行评分。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1.项目资金到位情况分析。该项目资金</w:t>
      </w:r>
      <w:r>
        <w:rPr>
          <w:rFonts w:ascii="仿宋_GB2312" w:hAnsi="楷体" w:eastAsia="仿宋_GB2312"/>
          <w:kern w:val="0"/>
          <w:sz w:val="32"/>
          <w:szCs w:val="32"/>
        </w:rPr>
        <w:t>2800万元，全额纳入学校2018年部门预算及学校预算。该指标已于2018年年初通过国库下达，校内预算指标于当年3月全额划拨。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2.项目资金执行情况分析。全年经费支出</w:t>
      </w:r>
      <w:r>
        <w:rPr>
          <w:rFonts w:ascii="仿宋_GB2312" w:hAnsi="楷体" w:eastAsia="仿宋_GB2312"/>
          <w:kern w:val="0"/>
          <w:sz w:val="32"/>
          <w:szCs w:val="32"/>
        </w:rPr>
        <w:t>617万元，资金执行率22%。</w:t>
      </w:r>
      <w:r>
        <w:rPr>
          <w:rFonts w:hint="eastAsia" w:ascii="仿宋_GB2312" w:hAnsi="楷体" w:eastAsia="仿宋_GB2312"/>
          <w:kern w:val="0"/>
          <w:sz w:val="32"/>
          <w:szCs w:val="32"/>
        </w:rPr>
        <w:t>分值20分，得分4.4分。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3.项目资金管理情况分析。严格按照《三峡大学基本建设管理办法》的有关规定依法依规依章实施工程项目管理，按时保质完成节点目标；按照《三峡大学基建维修工程审计管理办法》的有关规定及时送审；按照《三峡大学基本建设财务管理暂行办法》的有关规定配合财务处支付工程进度款，切实做到专款专用、节约高效，提升资金的使用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1.产出指标完成情况分析。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该项目产出指标分值</w:t>
      </w:r>
      <w:r>
        <w:rPr>
          <w:rFonts w:ascii="仿宋_GB2312" w:eastAsia="仿宋_GB2312"/>
          <w:sz w:val="32"/>
          <w:szCs w:val="32"/>
        </w:rPr>
        <w:t>40分，得分38.2</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产出指标下设“数量指标”、“质量指标”、“时效指标”等三项二级指标，绩效标准分别为不发生安全事故、已完工程质量合格率1</w:t>
      </w:r>
      <w:r>
        <w:rPr>
          <w:rFonts w:ascii="仿宋_GB2312" w:eastAsia="仿宋_GB2312"/>
          <w:sz w:val="32"/>
          <w:szCs w:val="32"/>
        </w:rPr>
        <w:t>00</w:t>
      </w:r>
      <w:r>
        <w:rPr>
          <w:rFonts w:hint="eastAsia" w:ascii="仿宋_GB2312" w:eastAsia="仿宋_GB2312"/>
          <w:sz w:val="32"/>
          <w:szCs w:val="32"/>
        </w:rPr>
        <w:t>%和已完工程按时完工率1</w:t>
      </w:r>
      <w:r>
        <w:rPr>
          <w:rFonts w:ascii="仿宋_GB2312" w:eastAsia="仿宋_GB2312"/>
          <w:sz w:val="32"/>
          <w:szCs w:val="32"/>
        </w:rPr>
        <w:t>00</w:t>
      </w:r>
      <w:r>
        <w:rPr>
          <w:rFonts w:hint="eastAsia" w:ascii="仿宋_GB2312" w:eastAsia="仿宋_GB2312"/>
          <w:sz w:val="32"/>
          <w:szCs w:val="32"/>
        </w:rPr>
        <w:t>%（详见附表）。</w:t>
      </w:r>
    </w:p>
    <w:p>
      <w:pPr>
        <w:spacing w:line="610" w:lineRule="exact"/>
        <w:ind w:firstLine="640" w:firstLineChars="200"/>
        <w:rPr>
          <w:rFonts w:ascii="仿宋_GB2312" w:eastAsia="仿宋_GB2312"/>
          <w:sz w:val="32"/>
          <w:szCs w:val="32"/>
        </w:rPr>
      </w:pPr>
    </w:p>
    <w:tbl>
      <w:tblPr>
        <w:tblStyle w:val="2"/>
        <w:tblW w:w="13948" w:type="dxa"/>
        <w:jc w:val="center"/>
        <w:tblInd w:w="0" w:type="dxa"/>
        <w:tblLayout w:type="fixed"/>
        <w:tblCellMar>
          <w:top w:w="0" w:type="dxa"/>
          <w:left w:w="108" w:type="dxa"/>
          <w:bottom w:w="0" w:type="dxa"/>
          <w:right w:w="108" w:type="dxa"/>
        </w:tblCellMar>
      </w:tblPr>
      <w:tblGrid>
        <w:gridCol w:w="1635"/>
        <w:gridCol w:w="1635"/>
        <w:gridCol w:w="2963"/>
        <w:gridCol w:w="1983"/>
        <w:gridCol w:w="993"/>
        <w:gridCol w:w="2106"/>
        <w:gridCol w:w="1604"/>
        <w:gridCol w:w="1029"/>
      </w:tblGrid>
      <w:tr>
        <w:tblPrEx>
          <w:tblLayout w:type="fixed"/>
          <w:tblCellMar>
            <w:top w:w="0" w:type="dxa"/>
            <w:left w:w="108" w:type="dxa"/>
            <w:bottom w:w="0" w:type="dxa"/>
            <w:right w:w="108" w:type="dxa"/>
          </w:tblCellMar>
        </w:tblPrEx>
        <w:trPr>
          <w:trHeight w:val="454" w:hRule="atLeast"/>
          <w:jc w:val="center"/>
        </w:trPr>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一级指标</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二级指标</w:t>
            </w:r>
          </w:p>
        </w:tc>
        <w:tc>
          <w:tcPr>
            <w:tcW w:w="29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绩效标准</w:t>
            </w:r>
          </w:p>
        </w:tc>
        <w:tc>
          <w:tcPr>
            <w:tcW w:w="1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项目名称</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分值</w:t>
            </w:r>
          </w:p>
        </w:tc>
        <w:tc>
          <w:tcPr>
            <w:tcW w:w="21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完成情况</w:t>
            </w:r>
          </w:p>
        </w:tc>
        <w:tc>
          <w:tcPr>
            <w:tcW w:w="1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完成比例</w:t>
            </w:r>
          </w:p>
        </w:tc>
        <w:tc>
          <w:tcPr>
            <w:tcW w:w="10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得分</w:t>
            </w:r>
          </w:p>
        </w:tc>
      </w:tr>
      <w:tr>
        <w:tblPrEx>
          <w:tblLayout w:type="fixed"/>
          <w:tblCellMar>
            <w:top w:w="0" w:type="dxa"/>
            <w:left w:w="108" w:type="dxa"/>
            <w:bottom w:w="0" w:type="dxa"/>
            <w:right w:w="108" w:type="dxa"/>
          </w:tblCellMar>
        </w:tblPrEx>
        <w:trPr>
          <w:trHeight w:val="454" w:hRule="atLeast"/>
          <w:jc w:val="center"/>
        </w:trPr>
        <w:tc>
          <w:tcPr>
            <w:tcW w:w="16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产出指标</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（40分）</w:t>
            </w:r>
          </w:p>
        </w:tc>
        <w:tc>
          <w:tcPr>
            <w:tcW w:w="16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数量指标</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（17分）</w:t>
            </w:r>
          </w:p>
        </w:tc>
        <w:tc>
          <w:tcPr>
            <w:tcW w:w="29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不发生安全事故</w:t>
            </w: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高压大厅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未发生</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生材楼</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未发生</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校医院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未发生</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云林路黑化</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未发生</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质量指标</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（17分）</w:t>
            </w:r>
          </w:p>
        </w:tc>
        <w:tc>
          <w:tcPr>
            <w:tcW w:w="29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已完工程质量合格率100%</w:t>
            </w: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高压大厅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全部合格</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生材楼</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全部合格</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校医院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全部合格</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云林路黑化</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全部合格</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4.25</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时效指标</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（6分）</w:t>
            </w:r>
          </w:p>
        </w:tc>
        <w:tc>
          <w:tcPr>
            <w:tcW w:w="29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已完工程按时完工率100%</w:t>
            </w: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高压大厅</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按时完成</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生材楼</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完成可研批复</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0.9</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校医院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21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完成主体4F</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Layout w:type="fixed"/>
          <w:tblCellMar>
            <w:top w:w="0" w:type="dxa"/>
            <w:left w:w="108" w:type="dxa"/>
            <w:bottom w:w="0" w:type="dxa"/>
            <w:right w:w="108" w:type="dxa"/>
          </w:tblCellMar>
        </w:tblPrEx>
        <w:trPr>
          <w:trHeight w:val="454"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8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云林路黑化</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210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完成施工图、</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清单及控制价等</w:t>
            </w:r>
          </w:p>
        </w:tc>
        <w:tc>
          <w:tcPr>
            <w:tcW w:w="160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0.6</w:t>
            </w:r>
          </w:p>
        </w:tc>
      </w:tr>
      <w:tr>
        <w:tblPrEx>
          <w:tblLayout w:type="fixed"/>
          <w:tblCellMar>
            <w:top w:w="0" w:type="dxa"/>
            <w:left w:w="108" w:type="dxa"/>
            <w:bottom w:w="0" w:type="dxa"/>
            <w:right w:w="108" w:type="dxa"/>
          </w:tblCellMar>
        </w:tblPrEx>
        <w:trPr>
          <w:trHeight w:val="454" w:hRule="atLeast"/>
          <w:jc w:val="center"/>
        </w:trPr>
        <w:tc>
          <w:tcPr>
            <w:tcW w:w="1291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    计</w:t>
            </w:r>
          </w:p>
        </w:tc>
        <w:tc>
          <w:tcPr>
            <w:tcW w:w="10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38.2</w:t>
            </w:r>
          </w:p>
        </w:tc>
      </w:tr>
    </w:tbl>
    <w:p>
      <w:pPr>
        <w:spacing w:line="610" w:lineRule="exact"/>
        <w:ind w:firstLine="640" w:firstLineChars="200"/>
        <w:rPr>
          <w:rFonts w:ascii="仿宋_GB2312" w:eastAsia="仿宋_GB2312"/>
          <w:sz w:val="32"/>
          <w:szCs w:val="32"/>
        </w:rPr>
      </w:pPr>
    </w:p>
    <w:p>
      <w:pPr>
        <w:spacing w:line="610" w:lineRule="exact"/>
        <w:ind w:firstLine="640" w:firstLineChars="200"/>
        <w:rPr>
          <w:rFonts w:ascii="仿宋_GB2312" w:eastAsia="仿宋_GB2312"/>
          <w:sz w:val="32"/>
          <w:szCs w:val="32"/>
        </w:rPr>
      </w:pPr>
      <w:r>
        <w:rPr>
          <w:rFonts w:hint="eastAsia" w:ascii="仿宋_GB2312" w:eastAsia="仿宋_GB2312"/>
          <w:sz w:val="32"/>
          <w:szCs w:val="32"/>
        </w:rPr>
        <w:t>2.效益指标完成情况分析</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该项目产出指标分值</w:t>
      </w:r>
      <w:r>
        <w:rPr>
          <w:rFonts w:ascii="仿宋_GB2312" w:eastAsia="仿宋_GB2312"/>
          <w:sz w:val="32"/>
          <w:szCs w:val="32"/>
        </w:rPr>
        <w:t>40分，得分40</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效益</w:t>
      </w:r>
      <w:r>
        <w:rPr>
          <w:rFonts w:ascii="仿宋_GB2312" w:eastAsia="仿宋_GB2312"/>
          <w:sz w:val="32"/>
          <w:szCs w:val="32"/>
        </w:rPr>
        <w:t>指标下设“</w:t>
      </w:r>
      <w:r>
        <w:rPr>
          <w:rFonts w:hint="eastAsia" w:ascii="仿宋_GB2312" w:eastAsia="仿宋_GB2312"/>
          <w:sz w:val="32"/>
          <w:szCs w:val="32"/>
        </w:rPr>
        <w:t>经济效益指标</w:t>
      </w:r>
      <w:r>
        <w:rPr>
          <w:rFonts w:ascii="仿宋_GB2312" w:eastAsia="仿宋_GB2312"/>
          <w:sz w:val="32"/>
          <w:szCs w:val="32"/>
        </w:rPr>
        <w:t>”二级指标，绩效标准</w:t>
      </w:r>
      <w:r>
        <w:rPr>
          <w:rFonts w:hint="eastAsia" w:ascii="仿宋_GB2312" w:eastAsia="仿宋_GB2312"/>
          <w:sz w:val="32"/>
          <w:szCs w:val="32"/>
        </w:rPr>
        <w:t>为投资控制在目标值5</w:t>
      </w:r>
      <w:r>
        <w:rPr>
          <w:rFonts w:ascii="仿宋_GB2312" w:eastAsia="仿宋_GB2312"/>
          <w:sz w:val="32"/>
          <w:szCs w:val="32"/>
        </w:rPr>
        <w:t>%</w:t>
      </w:r>
      <w:r>
        <w:rPr>
          <w:rFonts w:hint="eastAsia" w:ascii="仿宋_GB2312" w:eastAsia="仿宋_GB2312"/>
          <w:sz w:val="32"/>
          <w:szCs w:val="32"/>
        </w:rPr>
        <w:t>以内</w:t>
      </w:r>
      <w:r>
        <w:rPr>
          <w:rFonts w:ascii="仿宋_GB2312" w:eastAsia="仿宋_GB2312"/>
          <w:sz w:val="32"/>
          <w:szCs w:val="32"/>
        </w:rPr>
        <w:t>。</w:t>
      </w:r>
    </w:p>
    <w:p>
      <w:pPr>
        <w:spacing w:line="610" w:lineRule="exact"/>
        <w:ind w:firstLine="640" w:firstLineChars="200"/>
        <w:rPr>
          <w:rFonts w:ascii="仿宋_GB2312" w:eastAsia="仿宋_GB2312"/>
          <w:sz w:val="32"/>
          <w:szCs w:val="32"/>
        </w:rPr>
      </w:pPr>
    </w:p>
    <w:tbl>
      <w:tblPr>
        <w:tblStyle w:val="2"/>
        <w:tblW w:w="11688" w:type="dxa"/>
        <w:jc w:val="center"/>
        <w:tblInd w:w="0" w:type="dxa"/>
        <w:tblLayout w:type="fixed"/>
        <w:tblCellMar>
          <w:top w:w="0" w:type="dxa"/>
          <w:left w:w="108" w:type="dxa"/>
          <w:bottom w:w="0" w:type="dxa"/>
          <w:right w:w="108" w:type="dxa"/>
        </w:tblCellMar>
      </w:tblPr>
      <w:tblGrid>
        <w:gridCol w:w="1236"/>
        <w:gridCol w:w="1656"/>
        <w:gridCol w:w="2916"/>
        <w:gridCol w:w="1416"/>
        <w:gridCol w:w="696"/>
        <w:gridCol w:w="1896"/>
        <w:gridCol w:w="1176"/>
        <w:gridCol w:w="696"/>
      </w:tblGrid>
      <w:tr>
        <w:tblPrEx>
          <w:tblLayout w:type="fixed"/>
          <w:tblCellMar>
            <w:top w:w="0" w:type="dxa"/>
            <w:left w:w="108" w:type="dxa"/>
            <w:bottom w:w="0" w:type="dxa"/>
            <w:right w:w="108" w:type="dxa"/>
          </w:tblCellMar>
        </w:tblPrEx>
        <w:trPr>
          <w:trHeight w:val="510" w:hRule="atLeast"/>
          <w:jc w:val="center"/>
        </w:trPr>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一级指标</w:t>
            </w:r>
          </w:p>
        </w:tc>
        <w:tc>
          <w:tcPr>
            <w:tcW w:w="16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二级指标</w:t>
            </w:r>
          </w:p>
        </w:tc>
        <w:tc>
          <w:tcPr>
            <w:tcW w:w="2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绩效标准</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项目名称</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分值</w:t>
            </w:r>
          </w:p>
        </w:tc>
        <w:tc>
          <w:tcPr>
            <w:tcW w:w="1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完成情况</w:t>
            </w:r>
          </w:p>
        </w:tc>
        <w:tc>
          <w:tcPr>
            <w:tcW w:w="11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完成比例</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得分</w:t>
            </w:r>
          </w:p>
        </w:tc>
      </w:tr>
      <w:tr>
        <w:tblPrEx>
          <w:tblLayout w:type="fixed"/>
          <w:tblCellMar>
            <w:top w:w="0" w:type="dxa"/>
            <w:left w:w="108" w:type="dxa"/>
            <w:bottom w:w="0" w:type="dxa"/>
            <w:right w:w="108" w:type="dxa"/>
          </w:tblCellMar>
        </w:tblPrEx>
        <w:trPr>
          <w:trHeight w:val="510" w:hRule="atLeast"/>
          <w:jc w:val="center"/>
        </w:trPr>
        <w:tc>
          <w:tcPr>
            <w:tcW w:w="123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效益指标</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（40分）</w:t>
            </w:r>
          </w:p>
        </w:tc>
        <w:tc>
          <w:tcPr>
            <w:tcW w:w="16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经济效益指标</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（40分）</w:t>
            </w:r>
          </w:p>
        </w:tc>
        <w:tc>
          <w:tcPr>
            <w:tcW w:w="29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投资控制在目标值5%以内</w:t>
            </w: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高压大厅</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未超签约合同价</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r>
      <w:tr>
        <w:tblPrEx>
          <w:tblLayout w:type="fixed"/>
          <w:tblCellMar>
            <w:top w:w="0" w:type="dxa"/>
            <w:left w:w="108" w:type="dxa"/>
            <w:bottom w:w="0" w:type="dxa"/>
            <w:right w:w="108" w:type="dxa"/>
          </w:tblCellMar>
        </w:tblPrEx>
        <w:trPr>
          <w:trHeight w:val="510" w:hRule="atLeast"/>
          <w:jc w:val="center"/>
        </w:trPr>
        <w:tc>
          <w:tcPr>
            <w:tcW w:w="123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p>
        </w:tc>
        <w:tc>
          <w:tcPr>
            <w:tcW w:w="16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291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生材楼</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未超签约合同价</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r>
      <w:tr>
        <w:tblPrEx>
          <w:tblLayout w:type="fixed"/>
          <w:tblCellMar>
            <w:top w:w="0" w:type="dxa"/>
            <w:left w:w="108" w:type="dxa"/>
            <w:bottom w:w="0" w:type="dxa"/>
            <w:right w:w="108" w:type="dxa"/>
          </w:tblCellMar>
        </w:tblPrEx>
        <w:trPr>
          <w:trHeight w:val="510" w:hRule="atLeast"/>
          <w:jc w:val="center"/>
        </w:trPr>
        <w:tc>
          <w:tcPr>
            <w:tcW w:w="123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p>
        </w:tc>
        <w:tc>
          <w:tcPr>
            <w:tcW w:w="16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291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校医院</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未超签约合同价</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r>
      <w:tr>
        <w:tblPrEx>
          <w:tblLayout w:type="fixed"/>
          <w:tblCellMar>
            <w:top w:w="0" w:type="dxa"/>
            <w:left w:w="108" w:type="dxa"/>
            <w:bottom w:w="0" w:type="dxa"/>
            <w:right w:w="108" w:type="dxa"/>
          </w:tblCellMar>
        </w:tblPrEx>
        <w:trPr>
          <w:trHeight w:val="510" w:hRule="atLeast"/>
          <w:jc w:val="center"/>
        </w:trPr>
        <w:tc>
          <w:tcPr>
            <w:tcW w:w="1236"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p>
        </w:tc>
        <w:tc>
          <w:tcPr>
            <w:tcW w:w="16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291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云林路黑化</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未超签约合同价</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r>
      <w:tr>
        <w:tblPrEx>
          <w:tblLayout w:type="fixed"/>
          <w:tblCellMar>
            <w:top w:w="0" w:type="dxa"/>
            <w:left w:w="108" w:type="dxa"/>
            <w:bottom w:w="0" w:type="dxa"/>
            <w:right w:w="108" w:type="dxa"/>
          </w:tblCellMar>
        </w:tblPrEx>
        <w:trPr>
          <w:trHeight w:val="510" w:hRule="atLeast"/>
          <w:jc w:val="center"/>
        </w:trPr>
        <w:tc>
          <w:tcPr>
            <w:tcW w:w="1099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    计</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r>
    </w:tbl>
    <w:p>
      <w:pPr>
        <w:spacing w:line="610" w:lineRule="exact"/>
        <w:ind w:firstLine="640" w:firstLineChars="200"/>
        <w:rPr>
          <w:rFonts w:ascii="仿宋_GB2312" w:eastAsia="仿宋_GB2312"/>
          <w:sz w:val="32"/>
          <w:szCs w:val="32"/>
        </w:rPr>
      </w:pPr>
    </w:p>
    <w:p>
      <w:pPr>
        <w:spacing w:line="610" w:lineRule="exact"/>
        <w:ind w:firstLine="640" w:firstLineChars="200"/>
        <w:rPr>
          <w:rFonts w:ascii="仿宋_GB2312" w:eastAsia="仿宋_GB2312"/>
          <w:sz w:val="32"/>
          <w:szCs w:val="32"/>
        </w:rPr>
      </w:pPr>
    </w:p>
    <w:p>
      <w:pPr>
        <w:spacing w:line="610" w:lineRule="exact"/>
        <w:ind w:firstLine="640" w:firstLineChars="200"/>
        <w:rPr>
          <w:rFonts w:ascii="仿宋_GB2312" w:eastAsia="仿宋_GB2312"/>
          <w:sz w:val="32"/>
          <w:szCs w:val="32"/>
        </w:rPr>
        <w:sectPr>
          <w:pgSz w:w="16838" w:h="11906" w:orient="landscape"/>
          <w:pgMar w:top="1800" w:right="1440" w:bottom="1800" w:left="1440" w:header="851" w:footer="992" w:gutter="0"/>
          <w:cols w:space="425" w:num="1"/>
          <w:docGrid w:type="lines" w:linePitch="312" w:charSpace="0"/>
        </w:sectPr>
      </w:pPr>
    </w:p>
    <w:p>
      <w:pPr>
        <w:spacing w:line="610" w:lineRule="exact"/>
        <w:ind w:firstLine="640" w:firstLineChars="200"/>
        <w:rPr>
          <w:rFonts w:ascii="黑体" w:hAnsi="黑体" w:eastAsia="黑体"/>
          <w:sz w:val="32"/>
          <w:szCs w:val="32"/>
        </w:rPr>
      </w:pPr>
      <w:r>
        <w:rPr>
          <w:rFonts w:hint="eastAsia" w:ascii="黑体" w:hAnsi="黑体" w:eastAsia="黑体"/>
          <w:sz w:val="32"/>
          <w:szCs w:val="32"/>
        </w:rPr>
        <w:t>四、绩效自评结果拟应用情况</w:t>
      </w:r>
    </w:p>
    <w:p>
      <w:pPr>
        <w:spacing w:line="610" w:lineRule="exact"/>
        <w:ind w:firstLine="579" w:firstLineChars="181"/>
        <w:rPr>
          <w:rFonts w:ascii="仿宋_GB2312" w:eastAsia="仿宋_GB2312"/>
          <w:sz w:val="32"/>
          <w:szCs w:val="32"/>
        </w:rPr>
      </w:pPr>
      <w:r>
        <w:rPr>
          <w:rFonts w:hint="eastAsia" w:ascii="仿宋_GB2312" w:eastAsia="仿宋_GB2312"/>
          <w:sz w:val="32"/>
          <w:szCs w:val="32"/>
        </w:rPr>
        <w:t>2018年高校基本建设专项总体自评得分82.6分，其中预算执行4.4分，产出指标得分38.2分，效益指标得分40分。评价等级为“良”。</w:t>
      </w:r>
    </w:p>
    <w:p>
      <w:pPr>
        <w:spacing w:line="610" w:lineRule="exact"/>
        <w:ind w:firstLine="579" w:firstLineChars="181"/>
        <w:rPr>
          <w:rFonts w:ascii="仿宋_GB2312" w:eastAsia="仿宋_GB2312"/>
          <w:sz w:val="32"/>
          <w:szCs w:val="32"/>
        </w:rPr>
      </w:pPr>
      <w:r>
        <w:rPr>
          <w:rFonts w:hint="eastAsia" w:ascii="仿宋_GB2312" w:eastAsia="仿宋_GB2312"/>
          <w:sz w:val="32"/>
          <w:szCs w:val="32"/>
        </w:rPr>
        <w:t>（一）下一步改进措施</w:t>
      </w:r>
    </w:p>
    <w:p>
      <w:pPr>
        <w:spacing w:line="61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因“数量指标”原绩效标准为“工程形象进度”无法准确量化，且“效益指标”未设置三级指标，不利于绩效评价工作开展，故将“工程形象进度”调整为“不发生安全事故”，将原“数量指标”下的三级指标“投资控制合格率”调整为“效益指标”。此外，根据《省财政厅关于开展</w:t>
      </w:r>
      <w:r>
        <w:rPr>
          <w:rFonts w:ascii="仿宋_GB2312" w:eastAsia="仿宋_GB2312"/>
          <w:color w:val="auto"/>
          <w:sz w:val="32"/>
          <w:szCs w:val="32"/>
        </w:rPr>
        <w:t>2018年财政支出绩效评价工作的通知》文件精神，学校将进一步加强绩效目标的审核工作，不断完善项目指标体系，明确产出指标和效益指标的内涵，科学合理地设置产出指标和效益指标，提</w:t>
      </w:r>
      <w:r>
        <w:rPr>
          <w:rFonts w:hint="eastAsia" w:ascii="仿宋_GB2312" w:eastAsia="仿宋_GB2312"/>
          <w:color w:val="auto"/>
          <w:sz w:val="32"/>
          <w:szCs w:val="32"/>
        </w:rPr>
        <w:t>高</w:t>
      </w:r>
      <w:r>
        <w:rPr>
          <w:rFonts w:ascii="仿宋_GB2312" w:eastAsia="仿宋_GB2312"/>
          <w:color w:val="auto"/>
          <w:sz w:val="32"/>
          <w:szCs w:val="32"/>
        </w:rPr>
        <w:t>绩效目标与项目资金使用的相关性，确保绩效评价工作的顺利开展。</w:t>
      </w:r>
    </w:p>
    <w:p>
      <w:pPr>
        <w:spacing w:line="610" w:lineRule="exact"/>
        <w:ind w:firstLine="640" w:firstLineChars="200"/>
        <w:rPr>
          <w:rFonts w:ascii="仿宋_GB2312" w:eastAsia="仿宋_GB2312"/>
          <w:sz w:val="32"/>
          <w:szCs w:val="32"/>
        </w:rPr>
      </w:pPr>
      <w:r>
        <w:rPr>
          <w:rFonts w:hint="eastAsia" w:ascii="仿宋_GB2312" w:eastAsia="仿宋_GB2312"/>
          <w:color w:val="auto"/>
          <w:sz w:val="32"/>
          <w:szCs w:val="32"/>
        </w:rPr>
        <w:t>（三）拟公</w:t>
      </w:r>
      <w:r>
        <w:rPr>
          <w:rFonts w:hint="eastAsia" w:ascii="仿宋_GB2312" w:eastAsia="仿宋_GB2312"/>
          <w:sz w:val="32"/>
          <w:szCs w:val="32"/>
        </w:rPr>
        <w:t>开情况。</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本次绩效评价结果将随同2018年部门决算公开在湖北省人民政府网站和三峡大学校园网同步公开，并保持长期公开状态，接受社会各界的广泛监督。</w:t>
      </w:r>
    </w:p>
    <w:p>
      <w:pPr>
        <w:spacing w:line="610" w:lineRule="exact"/>
        <w:ind w:firstLine="640" w:firstLineChars="200"/>
        <w:rPr>
          <w:rFonts w:ascii="仿宋_GB2312" w:eastAsia="仿宋_GB2312"/>
          <w:sz w:val="32"/>
          <w:szCs w:val="32"/>
        </w:rPr>
      </w:pPr>
      <w:r>
        <w:rPr>
          <w:rFonts w:hint="eastAsia" w:ascii="黑体" w:hAnsi="黑体" w:eastAsia="黑体"/>
          <w:sz w:val="32"/>
          <w:szCs w:val="32"/>
        </w:rPr>
        <w:t>五、</w:t>
      </w:r>
      <w:r>
        <w:rPr>
          <w:rFonts w:hint="eastAsia" w:ascii="黑体" w:hAnsi="黑体" w:eastAsia="黑体" w:cs="宋体"/>
          <w:kern w:val="0"/>
          <w:sz w:val="32"/>
          <w:szCs w:val="32"/>
        </w:rPr>
        <w:t>2018年高校基本建设专项绩效自评表</w:t>
      </w:r>
      <w:r>
        <w:rPr>
          <w:rFonts w:hint="eastAsia" w:ascii="黑体" w:hAnsi="黑体" w:eastAsia="黑体" w:cs="宋体"/>
          <w:kern w:val="0"/>
          <w:sz w:val="32"/>
          <w:szCs w:val="32"/>
          <w:lang w:eastAsia="zh-CN"/>
        </w:rPr>
        <w:t>（</w:t>
      </w:r>
      <w:r>
        <w:rPr>
          <w:rFonts w:hint="eastAsia" w:ascii="黑体" w:hAnsi="黑体" w:eastAsia="黑体" w:cs="宋体"/>
          <w:kern w:val="0"/>
          <w:sz w:val="32"/>
          <w:szCs w:val="32"/>
        </w:rPr>
        <w:t>附后</w:t>
      </w:r>
      <w:r>
        <w:rPr>
          <w:rFonts w:hint="eastAsia" w:ascii="黑体" w:hAnsi="黑体" w:eastAsia="黑体" w:cs="宋体"/>
          <w:kern w:val="0"/>
          <w:sz w:val="32"/>
          <w:szCs w:val="32"/>
          <w:lang w:eastAsia="zh-CN"/>
        </w:rPr>
        <w:t>）</w:t>
      </w:r>
      <w:r>
        <w:rPr>
          <w:rFonts w:hint="eastAsia" w:ascii="黑体" w:hAnsi="黑体" w:eastAsia="黑体" w:cs="宋体"/>
          <w:kern w:val="0"/>
          <w:sz w:val="32"/>
          <w:szCs w:val="32"/>
        </w:rPr>
        <w:t>。</w:t>
      </w:r>
    </w:p>
    <w:p>
      <w:pPr>
        <w:spacing w:line="610" w:lineRule="exact"/>
        <w:ind w:firstLine="6400" w:firstLineChars="2000"/>
        <w:rPr>
          <w:rFonts w:ascii="仿宋_GB2312" w:eastAsia="仿宋_GB2312"/>
          <w:sz w:val="32"/>
          <w:szCs w:val="32"/>
        </w:rPr>
      </w:pPr>
      <w:r>
        <w:rPr>
          <w:rFonts w:hint="eastAsia" w:ascii="仿宋_GB2312" w:eastAsia="仿宋_GB2312"/>
          <w:sz w:val="32"/>
          <w:szCs w:val="32"/>
        </w:rPr>
        <w:t>三峡大学</w:t>
      </w:r>
    </w:p>
    <w:p>
      <w:pPr>
        <w:snapToGrid w:val="0"/>
        <w:jc w:val="right"/>
      </w:pPr>
      <w:r>
        <w:rPr>
          <w:rFonts w:hint="eastAsia" w:ascii="仿宋_GB2312" w:eastAsia="仿宋_GB2312"/>
          <w:sz w:val="32"/>
          <w:szCs w:val="32"/>
        </w:rPr>
        <w:t>2019年5月20日</w:t>
      </w:r>
      <w:r>
        <w:br w:type="page"/>
      </w:r>
    </w:p>
    <w:p>
      <w:pPr>
        <w:widowControl/>
        <w:jc w:val="center"/>
        <w:rPr>
          <w:rFonts w:ascii="仿宋" w:hAnsi="仿宋" w:eastAsia="仿宋" w:cs="仿宋"/>
          <w:b/>
          <w:bCs/>
          <w:kern w:val="0"/>
          <w:sz w:val="40"/>
          <w:szCs w:val="36"/>
        </w:rPr>
      </w:pPr>
      <w:r>
        <w:rPr>
          <w:rFonts w:hint="eastAsia" w:ascii="仿宋" w:hAnsi="仿宋" w:eastAsia="仿宋" w:cs="仿宋"/>
          <w:b/>
          <w:bCs/>
          <w:kern w:val="0"/>
          <w:sz w:val="40"/>
          <w:szCs w:val="36"/>
        </w:rPr>
        <w:t>三峡大学2018年高校基本建设专项</w:t>
      </w:r>
    </w:p>
    <w:p>
      <w:pPr>
        <w:widowControl/>
        <w:jc w:val="center"/>
        <w:rPr>
          <w:rFonts w:ascii="方正小标宋_GBK" w:hAnsi="黑体" w:eastAsia="方正小标宋_GBK" w:cs="宋体"/>
          <w:kern w:val="0"/>
          <w:sz w:val="40"/>
          <w:szCs w:val="36"/>
        </w:rPr>
      </w:pPr>
      <w:r>
        <w:rPr>
          <w:rFonts w:hint="eastAsia" w:ascii="仿宋" w:hAnsi="仿宋" w:eastAsia="仿宋" w:cs="仿宋"/>
          <w:b/>
          <w:bCs/>
          <w:kern w:val="0"/>
          <w:sz w:val="40"/>
          <w:szCs w:val="36"/>
        </w:rPr>
        <w:t>绩效自评表</w:t>
      </w:r>
    </w:p>
    <w:p>
      <w:pPr>
        <w:widowControl/>
        <w:jc w:val="left"/>
        <w:rPr>
          <w:rFonts w:ascii="楷体_GB2312" w:hAnsi="黑体" w:eastAsia="楷体_GB2312" w:cs="宋体"/>
          <w:kern w:val="0"/>
          <w:sz w:val="48"/>
          <w:szCs w:val="36"/>
        </w:rPr>
      </w:pPr>
      <w:r>
        <w:rPr>
          <w:rFonts w:hint="eastAsia" w:ascii="楷体_GB2312" w:hAnsi="宋体" w:eastAsia="楷体_GB2312" w:cs="宋体"/>
          <w:kern w:val="0"/>
          <w:sz w:val="24"/>
          <w:szCs w:val="20"/>
        </w:rPr>
        <w:t>填报日期：</w:t>
      </w:r>
      <w:r>
        <w:rPr>
          <w:rFonts w:ascii="楷体_GB2312" w:hAnsi="宋体" w:eastAsia="楷体_GB2312" w:cs="宋体"/>
          <w:kern w:val="0"/>
          <w:sz w:val="24"/>
          <w:szCs w:val="20"/>
        </w:rPr>
        <w:t>2019年5月20</w:t>
      </w:r>
      <w:r>
        <w:rPr>
          <w:rFonts w:hint="eastAsia" w:ascii="楷体_GB2312" w:hAnsi="宋体" w:eastAsia="楷体_GB2312" w:cs="宋体"/>
          <w:kern w:val="0"/>
          <w:sz w:val="24"/>
          <w:szCs w:val="20"/>
        </w:rPr>
        <w:t>日</w:t>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hint="eastAsia" w:ascii="楷体_GB2312" w:hAnsi="宋体" w:eastAsia="楷体_GB2312" w:cs="宋体"/>
          <w:kern w:val="0"/>
          <w:sz w:val="24"/>
          <w:szCs w:val="20"/>
        </w:rPr>
        <w:t>总分：8</w:t>
      </w:r>
      <w:r>
        <w:rPr>
          <w:rFonts w:ascii="楷体_GB2312" w:hAnsi="宋体" w:eastAsia="楷体_GB2312" w:cs="宋体"/>
          <w:kern w:val="0"/>
          <w:sz w:val="24"/>
          <w:szCs w:val="20"/>
        </w:rPr>
        <w:t>2.6</w:t>
      </w:r>
    </w:p>
    <w:tbl>
      <w:tblPr>
        <w:tblStyle w:val="2"/>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161"/>
        <w:gridCol w:w="1280"/>
        <w:gridCol w:w="923"/>
        <w:gridCol w:w="394"/>
        <w:gridCol w:w="1465"/>
        <w:gridCol w:w="660"/>
        <w:gridCol w:w="658"/>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18" w:type="dxa"/>
            <w:gridSpan w:val="8"/>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018</w:t>
            </w:r>
            <w:r>
              <w:rPr>
                <w:rFonts w:hint="eastAsia" w:ascii="仿宋_GB2312" w:hAnsi="宋体" w:eastAsia="仿宋_GB2312" w:cs="宋体"/>
                <w:kern w:val="0"/>
                <w:szCs w:val="21"/>
              </w:rPr>
              <w:t>年高校基本建设专项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364"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湖北省教育厅</w:t>
            </w:r>
          </w:p>
        </w:tc>
        <w:tc>
          <w:tcPr>
            <w:tcW w:w="2519"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项目实施单位</w:t>
            </w:r>
          </w:p>
        </w:tc>
        <w:tc>
          <w:tcPr>
            <w:tcW w:w="1535"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三峡大学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项目类别</w:t>
            </w:r>
          </w:p>
        </w:tc>
        <w:tc>
          <w:tcPr>
            <w:tcW w:w="7418" w:type="dxa"/>
            <w:gridSpan w:val="8"/>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1、部门预算项目   ☑   2、省直专项   </w:t>
            </w:r>
            <w:r>
              <w:rPr>
                <w:rFonts w:hint="eastAsia" w:ascii="Segoe UI Symbol" w:hAnsi="Segoe UI Symbol" w:eastAsia="仿宋_GB2312" w:cs="Segoe UI Symbol"/>
                <w:kern w:val="0"/>
                <w:szCs w:val="21"/>
              </w:rPr>
              <w:t>□</w:t>
            </w:r>
            <w:r>
              <w:rPr>
                <w:rFonts w:hint="eastAsia" w:ascii="仿宋_GB2312" w:hAnsi="宋体" w:eastAsia="仿宋_GB2312" w:cs="宋体"/>
                <w:kern w:val="0"/>
                <w:szCs w:val="21"/>
              </w:rPr>
              <w:t xml:space="preserve">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项目属性</w:t>
            </w:r>
          </w:p>
        </w:tc>
        <w:tc>
          <w:tcPr>
            <w:tcW w:w="7418" w:type="dxa"/>
            <w:gridSpan w:val="8"/>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1、持续性项目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2、新增性项目 </w:t>
            </w:r>
            <w:r>
              <w:rPr>
                <w:rFonts w:hint="eastAsia" w:ascii="Segoe UI Symbol" w:hAnsi="Segoe UI Symbol" w:eastAsia="仿宋_GB2312" w:cs="Segoe UI Symbol"/>
                <w:kern w:val="0"/>
                <w:szCs w:val="21"/>
              </w:rPr>
              <w:t>□</w:t>
            </w:r>
            <w:r>
              <w:rPr>
                <w:rFonts w:hint="eastAsia" w:ascii="仿宋_GB2312" w:hAnsi="宋体" w:eastAsia="仿宋_GB2312"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项目类型</w:t>
            </w:r>
          </w:p>
        </w:tc>
        <w:tc>
          <w:tcPr>
            <w:tcW w:w="7418" w:type="dxa"/>
            <w:gridSpan w:val="8"/>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1、常年性项目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2、延续性项目 </w:t>
            </w:r>
            <w:r>
              <w:rPr>
                <w:rFonts w:hint="eastAsia" w:ascii="Segoe UI Symbol" w:hAnsi="Segoe UI Symbol" w:eastAsia="仿宋_GB2312" w:cs="Segoe UI Symbol"/>
                <w:kern w:val="0"/>
                <w:szCs w:val="21"/>
              </w:rPr>
              <w:t>□</w:t>
            </w:r>
            <w:r>
              <w:rPr>
                <w:rFonts w:hint="eastAsia" w:ascii="仿宋_GB2312" w:hAnsi="宋体" w:eastAsia="仿宋_GB2312" w:cs="宋体"/>
                <w:kern w:val="0"/>
                <w:szCs w:val="21"/>
              </w:rPr>
              <w:t xml:space="preserve">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预算执行情况（万元）</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（20分）</w:t>
            </w:r>
          </w:p>
        </w:tc>
        <w:tc>
          <w:tcPr>
            <w:tcW w:w="1161"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预算数（A)</w:t>
            </w:r>
          </w:p>
        </w:tc>
        <w:tc>
          <w:tcPr>
            <w:tcW w:w="1317"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执行数(B)</w:t>
            </w:r>
          </w:p>
        </w:tc>
        <w:tc>
          <w:tcPr>
            <w:tcW w:w="146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执行率(B/A)</w:t>
            </w:r>
          </w:p>
        </w:tc>
        <w:tc>
          <w:tcPr>
            <w:tcW w:w="2195" w:type="dxa"/>
            <w:gridSpan w:val="3"/>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6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年度财政资金总额</w:t>
            </w:r>
          </w:p>
        </w:tc>
        <w:tc>
          <w:tcPr>
            <w:tcW w:w="1280"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800</w:t>
            </w:r>
          </w:p>
        </w:tc>
        <w:tc>
          <w:tcPr>
            <w:tcW w:w="1317"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r>
              <w:rPr>
                <w:rFonts w:ascii="仿宋_GB2312" w:hAnsi="宋体" w:eastAsia="仿宋_GB2312" w:cs="宋体"/>
                <w:kern w:val="0"/>
                <w:szCs w:val="21"/>
              </w:rPr>
              <w:t>17</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2</w:t>
            </w:r>
            <w:r>
              <w:rPr>
                <w:rFonts w:hint="eastAsia" w:ascii="仿宋_GB2312" w:hAnsi="宋体" w:eastAsia="仿宋_GB2312" w:cs="宋体"/>
                <w:kern w:val="0"/>
                <w:szCs w:val="21"/>
              </w:rPr>
              <w:t>%</w:t>
            </w:r>
          </w:p>
        </w:tc>
        <w:tc>
          <w:tcPr>
            <w:tcW w:w="2195"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r>
              <w:rPr>
                <w:rFonts w:ascii="仿宋_GB2312" w:hAnsi="宋体" w:eastAsia="仿宋_GB2312"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61"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597"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年初目标值（A)</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实际完成值(B)</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产出指标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（40分）</w:t>
            </w:r>
          </w:p>
        </w:tc>
        <w:tc>
          <w:tcPr>
            <w:tcW w:w="1161"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597"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不发生安全事故</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61"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597"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已完工程质量合格率1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vAlign w:val="center"/>
          </w:tcPr>
          <w:p>
            <w:pPr>
              <w:widowControl/>
              <w:jc w:val="left"/>
              <w:rPr>
                <w:rFonts w:ascii="仿宋_GB2312" w:hAnsi="宋体" w:eastAsia="仿宋_GB2312" w:cs="宋体"/>
                <w:kern w:val="0"/>
                <w:szCs w:val="21"/>
              </w:rPr>
            </w:pPr>
          </w:p>
        </w:tc>
        <w:tc>
          <w:tcPr>
            <w:tcW w:w="1161"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597"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已完工程按时完成率1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r>
              <w:rPr>
                <w:rFonts w:ascii="仿宋_GB2312" w:hAnsi="宋体" w:eastAsia="仿宋_GB2312" w:cs="宋体"/>
                <w:kern w:val="0"/>
                <w:szCs w:val="21"/>
              </w:rPr>
              <w:t>0</w:t>
            </w:r>
            <w:r>
              <w:rPr>
                <w:rFonts w:hint="eastAsia" w:ascii="仿宋_GB2312" w:hAnsi="宋体" w:eastAsia="仿宋_GB2312" w:cs="宋体"/>
                <w:kern w:val="0"/>
                <w:szCs w:val="21"/>
              </w:rPr>
              <w:t>%</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r>
              <w:rPr>
                <w:rFonts w:ascii="仿宋_GB2312" w:hAnsi="宋体" w:eastAsia="仿宋_GB2312"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效益指标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（40分）</w:t>
            </w:r>
          </w:p>
        </w:tc>
        <w:tc>
          <w:tcPr>
            <w:tcW w:w="1161"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益指标</w:t>
            </w:r>
          </w:p>
        </w:tc>
        <w:tc>
          <w:tcPr>
            <w:tcW w:w="2597"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已完工程</w:t>
            </w:r>
            <w:bookmarkStart w:id="0" w:name="_GoBack"/>
            <w:bookmarkEnd w:id="0"/>
            <w:r>
              <w:rPr>
                <w:rFonts w:hint="eastAsia" w:ascii="仿宋_GB2312" w:hAnsi="宋体" w:eastAsia="仿宋_GB2312" w:cs="宋体"/>
                <w:kern w:val="0"/>
                <w:szCs w:val="21"/>
              </w:rPr>
              <w:t>投资控制合格率1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465"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318"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87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r>
              <w:rPr>
                <w:rFonts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46" w:type="dxa"/>
            <w:gridSpan w:val="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备注：</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1.预算执行情况口径：预算数为调整后财政资金总额（包括上年结余结转），执行数为资金使用单位财政资金实际支出数。</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w:t>
            </w:r>
            <w:r>
              <w:rPr>
                <w:rFonts w:hint="eastAsia" w:ascii="仿宋_GB2312" w:hAnsi="宋体" w:eastAsia="仿宋_GB2312" w:cs="宋体"/>
                <w:b/>
                <w:bCs/>
                <w:kern w:val="0"/>
                <w:szCs w:val="21"/>
              </w:rPr>
              <w:t>基于经济性和必要性等因素考虑，满意度指标暂可不作为必评指标。</w:t>
            </w:r>
          </w:p>
        </w:tc>
      </w:tr>
    </w:tbl>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63"/>
    <w:rsid w:val="000442B4"/>
    <w:rsid w:val="001261A3"/>
    <w:rsid w:val="002C0D46"/>
    <w:rsid w:val="00326ED8"/>
    <w:rsid w:val="003F29DB"/>
    <w:rsid w:val="0048695A"/>
    <w:rsid w:val="004C4963"/>
    <w:rsid w:val="00501340"/>
    <w:rsid w:val="00546B48"/>
    <w:rsid w:val="00564006"/>
    <w:rsid w:val="005F5E88"/>
    <w:rsid w:val="006F259A"/>
    <w:rsid w:val="00C23B76"/>
    <w:rsid w:val="00D919B0"/>
    <w:rsid w:val="00DF6EE9"/>
    <w:rsid w:val="00F9620E"/>
    <w:rsid w:val="02823586"/>
    <w:rsid w:val="0ED813B5"/>
    <w:rsid w:val="119A6DD8"/>
    <w:rsid w:val="15121F52"/>
    <w:rsid w:val="1AFC759A"/>
    <w:rsid w:val="2F6841C4"/>
    <w:rsid w:val="34D44849"/>
    <w:rsid w:val="35102B54"/>
    <w:rsid w:val="35201FC2"/>
    <w:rsid w:val="3DCB4D44"/>
    <w:rsid w:val="3DFB5FC7"/>
    <w:rsid w:val="449C06FC"/>
    <w:rsid w:val="46C71C6E"/>
    <w:rsid w:val="4FFE4546"/>
    <w:rsid w:val="51EC3820"/>
    <w:rsid w:val="60137B12"/>
    <w:rsid w:val="752725EA"/>
    <w:rsid w:val="7B4E0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ctgu</Company>
  <Pages>7</Pages>
  <Words>516</Words>
  <Characters>2944</Characters>
  <Lines>24</Lines>
  <Paragraphs>6</Paragraphs>
  <TotalTime>0</TotalTime>
  <ScaleCrop>false</ScaleCrop>
  <LinksUpToDate>false</LinksUpToDate>
  <CharactersWithSpaces>3454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2019-05-23T12:36:00Z</dcterms:created>
  <dc:creator>patrick</dc:creator>
  <cp:lastModifiedBy>郭洁</cp:lastModifiedBy>
  <dcterms:modified xsi:type="dcterms:W3CDTF">2019-08-26T09:16:20Z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