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2018年度省属本科高校捐赠收入财政配比资金项目绩效自评报告</w:t>
      </w:r>
      <w:bookmarkStart w:id="0" w:name="_GoBack"/>
      <w:bookmarkEnd w:id="0"/>
    </w:p>
    <w:p>
      <w:pPr>
        <w:jc w:val="center"/>
        <w:rPr>
          <w:rFonts w:ascii="楷体_GB2312" w:hAnsi="宋体" w:eastAsia="楷体_GB2312"/>
          <w:sz w:val="24"/>
        </w:rPr>
      </w:pPr>
    </w:p>
    <w:p>
      <w:pPr>
        <w:spacing w:line="610" w:lineRule="exact"/>
        <w:ind w:firstLine="64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三峡大学根据《中华人民共和国预算法》、《湖北省人民政府关于推进预算绩效管理的意见》（鄂政发〔2013〕9号）、《湖北省财政厅关于2018年开展财政支出绩效评价工作的通知 》（鄂财绩发〔2018〕5号）等有关文件规定和要求，秉承独立、客观、公平的原则，完成了三峡大学2018年省属本科高校捐赠收入财政配比资金绩效自评工作，并形成了绩效评价报告。</w:t>
      </w:r>
    </w:p>
    <w:p>
      <w:pPr>
        <w:spacing w:line="610" w:lineRule="exact"/>
        <w:ind w:firstLine="640" w:firstLineChars="200"/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theme="minorBidi"/>
          <w:sz w:val="32"/>
          <w:szCs w:val="32"/>
        </w:rPr>
        <w:t>基本情况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（一）项目立项目的及绩效总目标情况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1.项目立项及预算情况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省教育厅、省财政厅按照国家、省政府相关政策方针，合理地安排了“2018年省属本科高校捐赠收入财政配比资金”资金项目，确保全省高等教育各项任务的全面推进，确保国家、省出台的各项教育政策规定的落实和政府教育改革举措的实施。该项目预算资金1576.27万元，其中：财政拨款1576.27万元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2.项目绩效总目标情况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项目绩效总目标旨在通过该专项资金的投入，大力引进高层次人才和拔尖人才，广泛聘请高水平的专家学者来校工作，把发现、培养、引进杰出人才作为高水平大学建设的战略任务，为学校事业发展和办学实力的提高提供坚实的人力资源支撑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（二）项目资金情况和年度绩效目标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1.项目预算情况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2018年省属本科高校捐赠收入财政配比资金预算1576.27万元。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2.项目年度绩效目标</w:t>
      </w:r>
    </w:p>
    <w:p>
      <w:pPr>
        <w:spacing w:line="610" w:lineRule="exact"/>
        <w:ind w:firstLine="640" w:firstLineChars="200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通过大力引进、重点培养、推进借智、加大培训、确保待遇等手段，不断优化师资队伍结构，努力建设一支规模适度、结构优良、素质良好、富有活力的高水平教师队伍，计划2018年引进博士、教授40人，培养回校博士25人，合计新增博士65人左右。</w:t>
      </w:r>
    </w:p>
    <w:p>
      <w:pPr>
        <w:spacing w:line="610" w:lineRule="exact"/>
        <w:ind w:firstLine="640" w:firstLineChars="200"/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二、绩效评价工作开展情况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（一）前期准备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1.成立绩效评价工作组。依据项目绩效目标及 《湖北省财政厅关于2018年开展省级财政支出绩效自评工作的通知 》（鄂财函〔2019〕118号）文件要求，成立由三峡大学财务处、科技处、人事处等职能部门组成的绩效评价工作组，负责组织开展绩效评价环节的工作。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2.制定绩效评价工作方案。根据绩效评价范围，综合考虑评价数量、评价重点及评价范畴等情况，制定了本次绩效评价工作方案。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3.制定绩效评价实施方案和相关制度。根据绩效评价工作方案、评价对象及预算管理要求，绩效评价工作组制定绩效评价工作实施方案，明确绩效评价工作目标、任务、时间安排和工作要求等具体事项。建立与绩效评价工作相关的制度、规定和办法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4.部署绩效评价工作。绩效评价工作组统一下发绩效评价通知，并召开绩效评价工作部署会。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（二）组织实施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1.建立绩效指标体系。根据项目年度目标设置绩效指标，同时采用逐项对比法和层次分析法，对每项指标根据重要性原则依次进行比较并确定权重值。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2.收集并审核资料。评价工作组根据资料清单，结合评价对象的实际情况收集资料，对所收集的资料进行全面核实和分析，对重要的和存在疑问的基础数据资料进行核实确认。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3.完成绩效指标评分。根据收集的资料和现场调研走访的情况，评价小组按照评价指标体系进行评分，评价小组无法判断的事项，聘请相关专业的专家进行评定打分。</w:t>
      </w:r>
    </w:p>
    <w:p>
      <w:pPr>
        <w:spacing w:line="610" w:lineRule="exact"/>
        <w:ind w:firstLine="640" w:firstLineChars="200"/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三、绩效目标完成情况分析</w:t>
      </w:r>
    </w:p>
    <w:p>
      <w:pPr>
        <w:spacing w:line="61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（一）资金投入情况分析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1.项目资金到位情况分析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项目预算资金1576.27万元，已于当年全部到位。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2.项目资金执行情况分析</w:t>
      </w:r>
    </w:p>
    <w:p>
      <w:pPr>
        <w:spacing w:line="61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全年经费支出1576.27万元，资金使用率为100%。</w:t>
      </w:r>
      <w:r>
        <w:rPr>
          <w:rFonts w:hint="eastAsia" w:ascii="仿宋_GB2312" w:hAnsiTheme="minorHAnsi" w:cstheme="minorBidi"/>
          <w:sz w:val="32"/>
          <w:szCs w:val="32"/>
          <w:lang w:eastAsia="zh-CN"/>
        </w:rPr>
        <w:t>分值</w:t>
      </w: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20分，得分20分。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3.项目资金管理情况分析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项目按照《三峡大学“十二五”及中长期科学和技术发展规划纲要》、《三峡大学“十三五”科技发展规划》、《三峡大学资金管理办法》（三峡大财〔2016〕42号）、《三峡大学出国（境）流程暂行规定》（三峡大外〔2011〕56号）、《三峡大学科研行为规范及管理职责》（三峡大科〔2017〕26号）等文件规定进行项目预算、执行、资金的管理，项目资金使用合法、合规。</w:t>
      </w:r>
    </w:p>
    <w:p>
      <w:pPr>
        <w:spacing w:line="61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（二）绩效指标完成情况分析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hAnsiTheme="minorHAnsi" w:cstheme="minorBidi"/>
          <w:sz w:val="32"/>
          <w:szCs w:val="32"/>
          <w:lang w:eastAsia="zh-CN"/>
        </w:rPr>
        <w:t>项目绩效</w:t>
      </w:r>
      <w:r>
        <w:rPr>
          <w:rFonts w:hint="eastAsia" w:ascii="仿宋_GB2312" w:eastAsia="仿宋_GB2312" w:hAnsiTheme="minorHAnsi" w:cstheme="minorBidi"/>
          <w:sz w:val="32"/>
          <w:szCs w:val="32"/>
        </w:rPr>
        <w:t>指标分值</w:t>
      </w: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 w:hAnsiTheme="minorHAnsi" w:cstheme="minorBidi"/>
          <w:sz w:val="32"/>
          <w:szCs w:val="32"/>
        </w:rPr>
        <w:t>分，得分</w:t>
      </w: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inorHAnsi" w:cstheme="minorBidi"/>
          <w:sz w:val="32"/>
          <w:szCs w:val="32"/>
        </w:rPr>
        <w:t>9.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 w:hAnsiTheme="minorHAnsi" w:cstheme="minorBidi"/>
          <w:sz w:val="32"/>
          <w:szCs w:val="32"/>
        </w:rPr>
        <w:t>分。</w:t>
      </w:r>
      <w:r>
        <w:rPr>
          <w:rFonts w:hint="eastAsia" w:ascii="仿宋_GB2312" w:hAnsiTheme="minorHAnsi" w:cstheme="minorBidi"/>
          <w:sz w:val="32"/>
          <w:szCs w:val="32"/>
          <w:lang w:eastAsia="zh-CN"/>
        </w:rPr>
        <w:t>具体情况</w:t>
      </w:r>
      <w:r>
        <w:rPr>
          <w:rFonts w:hint="eastAsia" w:ascii="仿宋_GB2312" w:eastAsia="仿宋_GB2312" w:hAnsiTheme="minorHAnsi" w:cstheme="minorBidi"/>
          <w:sz w:val="32"/>
          <w:szCs w:val="32"/>
        </w:rPr>
        <w:t>如下：</w:t>
      </w:r>
    </w:p>
    <w:p>
      <w:pPr>
        <w:spacing w:line="610" w:lineRule="exact"/>
        <w:ind w:firstLine="640" w:firstLineChars="200"/>
        <w:rPr>
          <w:rFonts w:hint="eastAsia" w:ascii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1.产出指标完成情况分析</w:t>
      </w:r>
    </w:p>
    <w:p>
      <w:pPr>
        <w:spacing w:line="610" w:lineRule="exact"/>
        <w:ind w:firstLine="640" w:firstLineChars="200"/>
        <w:rPr>
          <w:rFonts w:hint="default" w:ascii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产出指标共设置2个二级指标，3个三级指标：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1）每年新增博士（含引进和培养）、教授人数：</w:t>
      </w:r>
      <w:r>
        <w:rPr>
          <w:rFonts w:hint="eastAsia" w:ascii="仿宋_GB2312" w:hAnsiTheme="minorHAnsi" w:cstheme="minorBidi"/>
          <w:sz w:val="32"/>
          <w:szCs w:val="32"/>
          <w:lang w:eastAsia="zh-CN"/>
        </w:rPr>
        <w:t>年初</w:t>
      </w:r>
      <w:r>
        <w:rPr>
          <w:rFonts w:hint="eastAsia" w:ascii="仿宋_GB2312" w:eastAsia="仿宋_GB2312" w:hAnsiTheme="minorHAnsi" w:cstheme="minorBidi"/>
          <w:sz w:val="32"/>
          <w:szCs w:val="32"/>
        </w:rPr>
        <w:t>目标值65人，</w:t>
      </w:r>
      <w:r>
        <w:rPr>
          <w:rFonts w:hint="eastAsia" w:ascii="仿宋_GB2312" w:hAnsiTheme="minorHAnsi" w:cstheme="minorBidi"/>
          <w:sz w:val="32"/>
          <w:szCs w:val="32"/>
          <w:lang w:eastAsia="zh-CN"/>
        </w:rPr>
        <w:t>分值</w:t>
      </w: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20分。</w:t>
      </w:r>
      <w:r>
        <w:rPr>
          <w:rFonts w:hint="eastAsia" w:ascii="仿宋_GB2312" w:hAnsiTheme="minorHAnsi" w:cstheme="minorBidi"/>
          <w:sz w:val="32"/>
          <w:szCs w:val="32"/>
          <w:lang w:eastAsia="zh-CN"/>
        </w:rPr>
        <w:t>实际完成值</w:t>
      </w: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64人，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有1位博士因学位证需公示3个月，推迟报到，影响了整体指标完成率，得分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19.69</w:t>
      </w:r>
      <w:r>
        <w:rPr>
          <w:rFonts w:hint="eastAsia" w:ascii="仿宋_GB2312" w:eastAsia="仿宋_GB2312" w:hAnsiTheme="minorHAnsi" w:cstheme="minorBidi"/>
          <w:sz w:val="32"/>
          <w:szCs w:val="32"/>
        </w:rPr>
        <w:t>分。</w:t>
      </w:r>
    </w:p>
    <w:p>
      <w:pPr>
        <w:spacing w:line="610" w:lineRule="exact"/>
        <w:ind w:firstLine="640" w:firstLineChars="200"/>
        <w:rPr>
          <w:rFonts w:hint="eastAsia" w:ascii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2）新增省级以上人才计划人选数量：年初目标值6-8人，分值10分。根据人事处提供的《2018年新增省级人才计划花名册》，实际完成值11人，完成目标，得分10分。</w:t>
      </w:r>
    </w:p>
    <w:p>
      <w:pPr>
        <w:spacing w:line="610" w:lineRule="exact"/>
        <w:ind w:firstLine="640" w:firstLineChars="200"/>
        <w:rPr>
          <w:rFonts w:hint="default" w:ascii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3）按标准兑现引进人才（含拔尖人才）、培养回校博士安家费等待遇：年初目标值15-55万元，分值10分。根据人事处提供的《人才引进工作待遇协议》，完成该目标值，得分10分。</w:t>
      </w:r>
    </w:p>
    <w:p>
      <w:pPr>
        <w:spacing w:line="610" w:lineRule="exact"/>
        <w:ind w:firstLine="640" w:firstLineChars="200"/>
        <w:rPr>
          <w:rFonts w:hint="eastAsia" w:ascii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2.效益指标完成情况分析</w:t>
      </w:r>
    </w:p>
    <w:p>
      <w:pPr>
        <w:spacing w:line="610" w:lineRule="exact"/>
        <w:ind w:firstLine="640" w:firstLineChars="200"/>
        <w:rPr>
          <w:rFonts w:hint="default" w:ascii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效益指标设置可持续影响指标“高层次人才科研成果产出考核达标率”，目标值90%以上，分值40分。根据人事处提供的相关资料，该类人才共45人，考核合格人数44人，实际达标率97.78%，完成目标，得分40分。</w:t>
      </w:r>
    </w:p>
    <w:p>
      <w:pPr>
        <w:spacing w:line="610" w:lineRule="exact"/>
        <w:ind w:firstLine="640" w:firstLineChars="200"/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四、绩效自评结果拟应用情况</w:t>
      </w:r>
    </w:p>
    <w:p>
      <w:pPr>
        <w:spacing w:line="61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>2018年省属本科高校捐赠收入财政配比资金项目总体自评得分99.69分，其中预算执行情况20分，产出指标39.69分，效益指标40分。评价等级为“优”。</w:t>
      </w:r>
      <w:r>
        <w:rPr>
          <w:rFonts w:hint="eastAsia" w:ascii="仿宋_GB2312" w:eastAsia="仿宋_GB2312" w:hAnsiTheme="minorHAnsi" w:cstheme="minorBidi"/>
          <w:sz w:val="32"/>
          <w:szCs w:val="32"/>
        </w:rPr>
        <w:t>三峡大学2018年省属本科高校捐赠收入财政配比资金绩效目标明确、合理，项目实施过程中，制定了较为完善的规章制度，并较好地执行了相关管理制度。管理工作规范、有效，项目资金使用合法、合规。通过项目的实施，取得一些显著的成果，为学校教育事业的可持续发展打下基础，项目效果明显，基本实现了预期目标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（一）未完成原因和下一步改进措施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2018年新增博士（含引进和培养）人数目标值65人，实际完成值64人。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未完成原因：有1位博士因学位证需公示3个月，推迟报到，影响了整体指标完成率。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改进措施：设置年度目标时要考虑实际情况，同时督促考核通过拟录用的博士尽早完成学业，来校报到。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项目目标调整完善情况：近两年新增博士或教授（含引进和培养）进校后有部分申报获批省级及以上人才项目，可作为体现人才引进和人才培养质量的数量指标，因此在产出指标中新增一个数量指标“新增省级以上人才计划人选数量”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（二）拟与预算安排相结合情况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本次绩效评价结果将在校内公布，针对本次绩效评价发现的问题及未完成的绩效指标，指定相关责任人找出原因并限期进行整改。</w:t>
      </w:r>
    </w:p>
    <w:p>
      <w:pPr>
        <w:spacing w:line="61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（三）拟公开情况</w:t>
      </w:r>
    </w:p>
    <w:p>
      <w:pPr>
        <w:spacing w:line="480" w:lineRule="exact"/>
        <w:ind w:firstLine="640" w:firstLineChars="200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本次绩效评价结果将随同2018年部门决算公开在湖北省人民政府网站和三峡大学校园网同步公开，并保持长期公开状态，接受社会各界的广泛监督。 </w:t>
      </w:r>
    </w:p>
    <w:p>
      <w:pPr>
        <w:spacing w:line="610" w:lineRule="exact"/>
        <w:ind w:firstLine="640" w:firstLineChars="200"/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五、三峡大学2018年省属本科高校捐赠收入财政配比资金</w:t>
      </w:r>
      <w:r>
        <w:rPr>
          <w:rFonts w:hint="eastAsia" w:ascii="黑体" w:hAnsi="黑体" w:eastAsia="黑体" w:cstheme="minorBidi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theme="minorBidi"/>
          <w:sz w:val="32"/>
          <w:szCs w:val="32"/>
        </w:rPr>
        <w:t>绩效目标自评表（附</w:t>
      </w:r>
      <w:r>
        <w:rPr>
          <w:rFonts w:hint="eastAsia" w:ascii="黑体" w:hAnsi="黑体" w:eastAsia="黑体" w:cstheme="minorBidi"/>
          <w:sz w:val="32"/>
          <w:szCs w:val="32"/>
          <w:lang w:eastAsia="zh-CN"/>
        </w:rPr>
        <w:t>后</w:t>
      </w:r>
      <w:r>
        <w:rPr>
          <w:rFonts w:hint="eastAsia" w:ascii="黑体" w:hAnsi="黑体" w:eastAsia="黑体" w:cstheme="minorBidi"/>
          <w:sz w:val="32"/>
          <w:szCs w:val="32"/>
        </w:rPr>
        <w:t>）</w:t>
      </w:r>
    </w:p>
    <w:p>
      <w:pPr>
        <w:ind w:firstLine="6240" w:firstLineChars="2600"/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</w:pPr>
    </w:p>
    <w:p>
      <w:pPr>
        <w:ind w:firstLine="6240" w:firstLineChars="2600"/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</w:pPr>
    </w:p>
    <w:p>
      <w:pPr>
        <w:ind w:firstLine="6240" w:firstLineChars="2600"/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</w:pPr>
    </w:p>
    <w:p>
      <w:pPr>
        <w:ind w:firstLine="6240" w:firstLineChars="2600"/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</w:pPr>
    </w:p>
    <w:p>
      <w:pPr>
        <w:spacing w:line="610" w:lineRule="exact"/>
        <w:ind w:firstLine="640" w:firstLineChars="200"/>
        <w:jc w:val="center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hAnsiTheme="minorHAnsi" w:cstheme="minorBidi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三峡大学</w:t>
      </w:r>
    </w:p>
    <w:p>
      <w:pPr>
        <w:spacing w:line="610" w:lineRule="exact"/>
        <w:ind w:firstLine="640" w:firstLineChars="200"/>
        <w:jc w:val="right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2019年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HAnsi" w:cstheme="minorBidi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inorHAnsi" w:cstheme="minorBidi"/>
          <w:sz w:val="32"/>
          <w:szCs w:val="32"/>
        </w:rPr>
        <w:t>日</w:t>
      </w: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jc w:val="center"/>
        <w:rPr>
          <w:rFonts w:ascii="方正小标宋_GBK" w:hAnsi="黑体" w:eastAsia="方正小标宋_GBK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三峡大学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2018年省属本科高校捐赠收入财政配比资金项目绩效自评表</w:t>
      </w:r>
    </w:p>
    <w:p>
      <w:pPr>
        <w:widowControl/>
        <w:jc w:val="left"/>
        <w:rPr>
          <w:rFonts w:hint="default" w:ascii="楷体_GB2312" w:hAnsi="黑体" w:eastAsia="楷体_GB2312" w:cs="宋体"/>
          <w:kern w:val="0"/>
          <w:sz w:val="48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2019年5月20日  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99.69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2"/>
        <w:gridCol w:w="1319"/>
        <w:gridCol w:w="923"/>
        <w:gridCol w:w="394"/>
        <w:gridCol w:w="1465"/>
        <w:gridCol w:w="660"/>
        <w:gridCol w:w="658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2018年省属本科高校捐赠收入财政配比资金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湖北省教育厅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项目实施单位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三峡大学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1、部门预算项目   □   2、省直专项 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3、省对下转移支付项目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1、持续性项目   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2、新增性项目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项目类型</w:t>
            </w:r>
          </w:p>
        </w:tc>
        <w:tc>
          <w:tcPr>
            <w:tcW w:w="7418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1、常年性项目   </w:t>
            </w:r>
            <w:r>
              <w:rPr>
                <w:rFonts w:ascii="仿宋_GB2312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□   2、延续性项目 □      3、一次性项目 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预算执行情况（万元）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预算数（A)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执行数(B)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执行率(B/A)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年度财政资金总额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1576.27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1576.27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年初目标值（A)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实际完成值(B)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产出指标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（40分）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每年新增博士（含引进和培养）、教授人数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新增省级以上人才计划人选数量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6-8人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11人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按标准兑现引进人才（含拔尖人才）、培养回校博士安家费等待遇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15-55万元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15-55万元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效益指标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（40分）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高层次人才科研成果产出考核达标率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97.78%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3.定性指标计分原则：达成预期指标、部分达成预期指标并具有一定效果、未达成预期指标且效果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</w:rPr>
              <w:t>4.基于经济性和必要性等因素考虑，满意度指标暂可不作为必评指标。</w:t>
            </w:r>
          </w:p>
        </w:tc>
      </w:tr>
    </w:tbl>
    <w:p>
      <w:pPr>
        <w:ind w:firstLine="6240" w:firstLineChars="2600"/>
        <w:rPr>
          <w:rFonts w:asciiTheme="minorEastAsia" w:hAnsiTheme="minorEastAsia" w:eastAsiaTheme="minorEastAsia" w:cstheme="minorEastAsia"/>
          <w:bCs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19459"/>
      <w:docPartObj>
        <w:docPartGallery w:val="autotext"/>
      </w:docPartObj>
    </w:sdtPr>
    <w:sdtEndPr>
      <w:rPr>
        <w:rFonts w:ascii="宋体" w:hAnsi="宋体" w:eastAsia="宋体"/>
        <w:b/>
        <w:sz w:val="21"/>
        <w:szCs w:val="21"/>
      </w:rPr>
    </w:sdtEndPr>
    <w:sdtContent>
      <w:p>
        <w:pPr>
          <w:pStyle w:val="2"/>
          <w:tabs>
            <w:tab w:val="right" w:pos="8229"/>
            <w:tab w:val="clear" w:pos="4153"/>
            <w:tab w:val="clear" w:pos="8306"/>
          </w:tabs>
          <w:ind w:right="360"/>
          <w:rPr>
            <w:rFonts w:ascii="隶书" w:eastAsia="隶书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3758"/>
    <w:rsid w:val="001446C8"/>
    <w:rsid w:val="001864D4"/>
    <w:rsid w:val="00187C1F"/>
    <w:rsid w:val="002640B4"/>
    <w:rsid w:val="00266A83"/>
    <w:rsid w:val="003C3E50"/>
    <w:rsid w:val="005D72B3"/>
    <w:rsid w:val="006339F4"/>
    <w:rsid w:val="00652683"/>
    <w:rsid w:val="006E527D"/>
    <w:rsid w:val="007B3677"/>
    <w:rsid w:val="007D52EF"/>
    <w:rsid w:val="00873758"/>
    <w:rsid w:val="009456FA"/>
    <w:rsid w:val="00A63187"/>
    <w:rsid w:val="00B82AC5"/>
    <w:rsid w:val="00BE34DA"/>
    <w:rsid w:val="00CB51BC"/>
    <w:rsid w:val="00D925DA"/>
    <w:rsid w:val="00E42E26"/>
    <w:rsid w:val="00F05AA8"/>
    <w:rsid w:val="07F719E6"/>
    <w:rsid w:val="100B4EBE"/>
    <w:rsid w:val="1489086D"/>
    <w:rsid w:val="19F36B81"/>
    <w:rsid w:val="1A2C2CBE"/>
    <w:rsid w:val="1EB41E77"/>
    <w:rsid w:val="20F80AC8"/>
    <w:rsid w:val="2685489E"/>
    <w:rsid w:val="26871A02"/>
    <w:rsid w:val="2D705ADF"/>
    <w:rsid w:val="2E0F7CE5"/>
    <w:rsid w:val="30B13226"/>
    <w:rsid w:val="32892502"/>
    <w:rsid w:val="34432E8F"/>
    <w:rsid w:val="3C232197"/>
    <w:rsid w:val="4DD717D9"/>
    <w:rsid w:val="4F7D4E8C"/>
    <w:rsid w:val="51F06904"/>
    <w:rsid w:val="54490D1F"/>
    <w:rsid w:val="594B6E3B"/>
    <w:rsid w:val="64354E8D"/>
    <w:rsid w:val="65A478F0"/>
    <w:rsid w:val="70993E83"/>
    <w:rsid w:val="720142E2"/>
    <w:rsid w:val="75D93495"/>
    <w:rsid w:val="7D5676EA"/>
    <w:rsid w:val="7F8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5</Pages>
  <Words>365</Words>
  <Characters>2084</Characters>
  <Lines>17</Lines>
  <Paragraphs>4</Paragraphs>
  <TotalTime>0</TotalTime>
  <ScaleCrop>false</ScaleCrop>
  <LinksUpToDate>false</LinksUpToDate>
  <CharactersWithSpaces>2445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2019-04-12T04:05:00Z</dcterms:created>
  <dc:creator>魏耘</dc:creator>
  <cp:lastModifiedBy>郭洁</cp:lastModifiedBy>
  <cp:lastPrinted>2019-05-23T08:13:00Z</cp:lastPrinted>
  <dcterms:modified xsi:type="dcterms:W3CDTF">2019-08-26T09:12:43Z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