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8336" w:type="dxa"/>
        <w:tblInd w:w="0" w:type="dxa"/>
        <w:tblLayout w:type="fixed"/>
        <w:tblCellMar>
          <w:top w:w="15" w:type="dxa"/>
          <w:left w:w="15" w:type="dxa"/>
          <w:bottom w:w="15" w:type="dxa"/>
          <w:right w:w="15" w:type="dxa"/>
        </w:tblCellMar>
      </w:tblPr>
      <w:tblGrid>
        <w:gridCol w:w="642"/>
        <w:gridCol w:w="1051"/>
        <w:gridCol w:w="825"/>
        <w:gridCol w:w="1106"/>
        <w:gridCol w:w="1427"/>
        <w:gridCol w:w="981"/>
        <w:gridCol w:w="979"/>
        <w:gridCol w:w="1325"/>
      </w:tblGrid>
      <w:tr>
        <w:tblPrEx>
          <w:tblLayout w:type="fixed"/>
          <w:tblCellMar>
            <w:top w:w="15" w:type="dxa"/>
            <w:left w:w="15" w:type="dxa"/>
            <w:bottom w:w="15" w:type="dxa"/>
            <w:right w:w="15" w:type="dxa"/>
          </w:tblCellMar>
        </w:tblPrEx>
        <w:trPr>
          <w:trHeight w:val="600" w:hRule="atLeast"/>
        </w:trPr>
        <w:tc>
          <w:tcPr>
            <w:tcW w:w="8336" w:type="dxa"/>
            <w:gridSpan w:val="8"/>
            <w:shd w:val="clear" w:color="auto" w:fill="auto"/>
            <w:vAlign w:val="center"/>
          </w:tcPr>
          <w:p>
            <w:pPr>
              <w:widowControl/>
              <w:ind w:firstLine="643"/>
              <w:jc w:val="center"/>
              <w:textAlignment w:val="center"/>
              <w:rPr>
                <w:rFonts w:ascii="宋体" w:hAnsi="宋体" w:eastAsia="宋体" w:cs="宋体"/>
                <w:b/>
                <w:color w:val="000000"/>
                <w:sz w:val="32"/>
                <w:szCs w:val="32"/>
              </w:rPr>
            </w:pPr>
            <w:r>
              <w:rPr>
                <w:rFonts w:hint="eastAsia" w:ascii="宋体" w:hAnsi="宋体" w:eastAsia="宋体" w:cs="宋体"/>
                <w:b/>
                <w:color w:val="000000"/>
                <w:kern w:val="0"/>
                <w:sz w:val="32"/>
                <w:szCs w:val="32"/>
                <w:lang w:bidi="ar"/>
              </w:rPr>
              <w:t>“红十字人道主义救助经费”绩效目标自评表</w:t>
            </w:r>
            <w:r>
              <w:rPr>
                <w:rStyle w:val="4"/>
                <w:rFonts w:hint="default"/>
                <w:lang w:bidi="ar"/>
              </w:rPr>
              <w:t xml:space="preserve"> </w:t>
            </w:r>
            <w:bookmarkStart w:id="0" w:name="_GoBack"/>
            <w:bookmarkEnd w:id="0"/>
          </w:p>
        </w:tc>
      </w:tr>
      <w:tr>
        <w:tblPrEx>
          <w:tblLayout w:type="fixed"/>
          <w:tblCellMar>
            <w:top w:w="15" w:type="dxa"/>
            <w:left w:w="15" w:type="dxa"/>
            <w:bottom w:w="15" w:type="dxa"/>
            <w:right w:w="15" w:type="dxa"/>
          </w:tblCellMar>
        </w:tblPrEx>
        <w:trPr>
          <w:trHeight w:val="420" w:hRule="atLeast"/>
        </w:trPr>
        <w:tc>
          <w:tcPr>
            <w:tcW w:w="8336" w:type="dxa"/>
            <w:gridSpan w:val="8"/>
            <w:tcBorders>
              <w:bottom w:val="single" w:color="000000" w:sz="4" w:space="0"/>
            </w:tcBorders>
            <w:shd w:val="clear" w:color="auto" w:fill="auto"/>
          </w:tcPr>
          <w:p>
            <w:pPr>
              <w:widowControl/>
              <w:ind w:firstLine="440"/>
              <w:jc w:val="center"/>
              <w:textAlignment w:val="top"/>
              <w:rPr>
                <w:rFonts w:ascii="宋体" w:hAnsi="宋体" w:eastAsia="宋体" w:cs="宋体"/>
                <w:color w:val="000000"/>
                <w:sz w:val="22"/>
                <w:szCs w:val="22"/>
              </w:rPr>
            </w:pPr>
            <w:r>
              <w:rPr>
                <w:rFonts w:hint="eastAsia" w:ascii="宋体" w:hAnsi="宋体" w:eastAsia="宋体" w:cs="宋体"/>
                <w:color w:val="000000"/>
                <w:kern w:val="0"/>
                <w:sz w:val="22"/>
                <w:szCs w:val="22"/>
                <w:lang w:bidi="ar"/>
              </w:rPr>
              <w:t>（2017年度）</w:t>
            </w:r>
          </w:p>
        </w:tc>
      </w:tr>
      <w:tr>
        <w:tblPrEx>
          <w:tblLayout w:type="fixed"/>
          <w:tblCellMar>
            <w:top w:w="15" w:type="dxa"/>
            <w:left w:w="15" w:type="dxa"/>
            <w:bottom w:w="15" w:type="dxa"/>
            <w:right w:w="15" w:type="dxa"/>
          </w:tblCellMar>
        </w:tblPrEx>
        <w:trPr>
          <w:trHeight w:val="316" w:hRule="atLeast"/>
        </w:trPr>
        <w:tc>
          <w:tcPr>
            <w:tcW w:w="2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专项（项目）名称</w:t>
            </w:r>
          </w:p>
        </w:tc>
        <w:tc>
          <w:tcPr>
            <w:tcW w:w="5818"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红十字人道主义救助经费</w:t>
            </w:r>
          </w:p>
        </w:tc>
      </w:tr>
      <w:tr>
        <w:tblPrEx>
          <w:tblLayout w:type="fixed"/>
          <w:tblCellMar>
            <w:top w:w="15" w:type="dxa"/>
            <w:left w:w="15" w:type="dxa"/>
            <w:bottom w:w="15" w:type="dxa"/>
            <w:right w:w="15" w:type="dxa"/>
          </w:tblCellMar>
        </w:tblPrEx>
        <w:trPr>
          <w:trHeight w:val="316" w:hRule="atLeast"/>
        </w:trPr>
        <w:tc>
          <w:tcPr>
            <w:tcW w:w="25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主管部门</w:t>
            </w:r>
          </w:p>
        </w:tc>
        <w:tc>
          <w:tcPr>
            <w:tcW w:w="25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赈济救护部</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both"/>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实施单位</w:t>
            </w:r>
          </w:p>
        </w:tc>
        <w:tc>
          <w:tcPr>
            <w:tcW w:w="230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湖北省红十字会</w:t>
            </w:r>
          </w:p>
        </w:tc>
      </w:tr>
      <w:tr>
        <w:tblPrEx>
          <w:tblLayout w:type="fixed"/>
          <w:tblCellMar>
            <w:top w:w="15" w:type="dxa"/>
            <w:left w:w="15" w:type="dxa"/>
            <w:bottom w:w="15" w:type="dxa"/>
            <w:right w:w="15" w:type="dxa"/>
          </w:tblCellMar>
        </w:tblPrEx>
        <w:trPr>
          <w:trHeight w:val="316" w:hRule="atLeast"/>
        </w:trPr>
        <w:tc>
          <w:tcPr>
            <w:tcW w:w="251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项目资金（万元）</w:t>
            </w: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rPr>
                <w:rFonts w:ascii="宋体" w:hAnsi="宋体" w:eastAsia="宋体" w:cs="宋体"/>
                <w:color w:val="000000"/>
                <w:sz w:val="20"/>
                <w:szCs w:val="20"/>
              </w:rPr>
            </w:pP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both"/>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全年预算数（A）</w:t>
            </w:r>
          </w:p>
        </w:tc>
        <w:tc>
          <w:tcPr>
            <w:tcW w:w="1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both"/>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全年执行数（B）</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both"/>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执行率（B/A)</w:t>
            </w:r>
          </w:p>
        </w:tc>
      </w:tr>
      <w:tr>
        <w:tblPrEx>
          <w:tblLayout w:type="fixed"/>
          <w:tblCellMar>
            <w:top w:w="15" w:type="dxa"/>
            <w:left w:w="15" w:type="dxa"/>
            <w:bottom w:w="15" w:type="dxa"/>
            <w:right w:w="15" w:type="dxa"/>
          </w:tblCellMar>
        </w:tblPrEx>
        <w:trPr>
          <w:trHeight w:val="480" w:hRule="atLeast"/>
        </w:trPr>
        <w:tc>
          <w:tcPr>
            <w:tcW w:w="251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jc w:val="center"/>
              <w:rPr>
                <w:rFonts w:ascii="宋体" w:hAnsi="宋体" w:eastAsia="宋体" w:cs="宋体"/>
                <w:color w:val="000000"/>
                <w:sz w:val="20"/>
                <w:szCs w:val="20"/>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一般公共预算财政拨款</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both"/>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400</w:t>
            </w:r>
          </w:p>
        </w:tc>
        <w:tc>
          <w:tcPr>
            <w:tcW w:w="1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800" w:firstLineChars="400"/>
              <w:jc w:val="both"/>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761</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both"/>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190%</w:t>
            </w:r>
          </w:p>
        </w:tc>
      </w:tr>
      <w:tr>
        <w:tblPrEx>
          <w:tblLayout w:type="fixed"/>
          <w:tblCellMar>
            <w:top w:w="15" w:type="dxa"/>
            <w:left w:w="15" w:type="dxa"/>
            <w:bottom w:w="15" w:type="dxa"/>
            <w:right w:w="15" w:type="dxa"/>
          </w:tblCellMar>
        </w:tblPrEx>
        <w:trPr>
          <w:trHeight w:val="480" w:hRule="atLeast"/>
        </w:trPr>
        <w:tc>
          <w:tcPr>
            <w:tcW w:w="251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jc w:val="center"/>
              <w:rPr>
                <w:rFonts w:ascii="宋体" w:hAnsi="宋体" w:eastAsia="宋体" w:cs="宋体"/>
                <w:color w:val="000000"/>
                <w:sz w:val="20"/>
                <w:szCs w:val="20"/>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其中：申请当年预算拨款</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both"/>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400</w:t>
            </w:r>
          </w:p>
        </w:tc>
        <w:tc>
          <w:tcPr>
            <w:tcW w:w="1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800" w:firstLineChars="400"/>
              <w:jc w:val="both"/>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400</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both"/>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100%</w:t>
            </w:r>
          </w:p>
        </w:tc>
      </w:tr>
      <w:tr>
        <w:tblPrEx>
          <w:tblLayout w:type="fixed"/>
          <w:tblCellMar>
            <w:top w:w="15" w:type="dxa"/>
            <w:left w:w="15" w:type="dxa"/>
            <w:bottom w:w="15" w:type="dxa"/>
            <w:right w:w="15" w:type="dxa"/>
          </w:tblCellMar>
        </w:tblPrEx>
        <w:trPr>
          <w:trHeight w:val="555" w:hRule="atLeast"/>
        </w:trPr>
        <w:tc>
          <w:tcPr>
            <w:tcW w:w="251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jc w:val="center"/>
              <w:rPr>
                <w:rFonts w:ascii="宋体" w:hAnsi="宋体" w:eastAsia="宋体" w:cs="宋体"/>
                <w:color w:val="000000"/>
                <w:sz w:val="20"/>
                <w:szCs w:val="20"/>
              </w:rPr>
            </w:pPr>
          </w:p>
        </w:tc>
        <w:tc>
          <w:tcPr>
            <w:tcW w:w="11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宋体" w:hAnsi="宋体" w:eastAsia="宋体" w:cs="宋体"/>
                <w:color w:val="000000"/>
                <w:sz w:val="18"/>
                <w:szCs w:val="18"/>
              </w:rPr>
            </w:pPr>
            <w:r>
              <w:rPr>
                <w:rStyle w:val="5"/>
                <w:rFonts w:hint="default"/>
                <w:lang w:bidi="ar"/>
              </w:rPr>
              <w:t>其他资金</w:t>
            </w:r>
            <w:r>
              <w:rPr>
                <w:rStyle w:val="6"/>
                <w:rFonts w:hint="default"/>
                <w:lang w:bidi="ar"/>
              </w:rPr>
              <w:t>（社会募集资金）</w:t>
            </w:r>
          </w:p>
        </w:tc>
        <w:tc>
          <w:tcPr>
            <w:tcW w:w="14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both"/>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0</w:t>
            </w:r>
          </w:p>
        </w:tc>
        <w:tc>
          <w:tcPr>
            <w:tcW w:w="1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800" w:firstLineChars="400"/>
              <w:jc w:val="both"/>
              <w:textAlignment w:val="center"/>
              <w:rPr>
                <w:rFonts w:ascii="宋体" w:hAnsi="宋体" w:eastAsia="宋体" w:cs="宋体"/>
                <w:color w:val="000000"/>
                <w:sz w:val="20"/>
                <w:szCs w:val="20"/>
              </w:rPr>
            </w:pPr>
            <w:r>
              <w:rPr>
                <w:rFonts w:hint="eastAsia" w:ascii="宋体" w:hAnsi="宋体" w:eastAsia="宋体" w:cs="宋体"/>
                <w:color w:val="000000"/>
                <w:sz w:val="20"/>
                <w:szCs w:val="20"/>
              </w:rPr>
              <w:t>361</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both"/>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100%</w:t>
            </w:r>
          </w:p>
        </w:tc>
      </w:tr>
      <w:tr>
        <w:tblPrEx>
          <w:tblLayout w:type="fixed"/>
          <w:tblCellMar>
            <w:top w:w="15" w:type="dxa"/>
            <w:left w:w="15" w:type="dxa"/>
            <w:bottom w:w="15" w:type="dxa"/>
            <w:right w:w="15" w:type="dxa"/>
          </w:tblCellMar>
        </w:tblPrEx>
        <w:trPr>
          <w:trHeight w:val="316" w:hRule="atLeast"/>
        </w:trPr>
        <w:tc>
          <w:tcPr>
            <w:tcW w:w="6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both"/>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年度总体目标</w:t>
            </w:r>
          </w:p>
        </w:tc>
        <w:tc>
          <w:tcPr>
            <w:tcW w:w="44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年初设定目标</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全年实际完成情况</w:t>
            </w:r>
          </w:p>
        </w:tc>
      </w:tr>
      <w:tr>
        <w:tblPrEx>
          <w:tblLayout w:type="fixed"/>
          <w:tblCellMar>
            <w:top w:w="15" w:type="dxa"/>
            <w:left w:w="15" w:type="dxa"/>
            <w:bottom w:w="15" w:type="dxa"/>
            <w:right w:w="15" w:type="dxa"/>
          </w:tblCellMar>
        </w:tblPrEx>
        <w:trPr>
          <w:trHeight w:val="915"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jc w:val="center"/>
              <w:rPr>
                <w:rFonts w:ascii="宋体" w:hAnsi="宋体" w:eastAsia="宋体" w:cs="宋体"/>
                <w:color w:val="000000"/>
                <w:sz w:val="20"/>
                <w:szCs w:val="20"/>
              </w:rPr>
            </w:pPr>
          </w:p>
        </w:tc>
        <w:tc>
          <w:tcPr>
            <w:tcW w:w="440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目标1：收集评审50名器官捐献者困难家庭，开展救助活动。</w:t>
            </w:r>
          </w:p>
        </w:tc>
        <w:tc>
          <w:tcPr>
            <w:tcW w:w="328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both"/>
              <w:textAlignment w:val="center"/>
              <w:rPr>
                <w:rFonts w:hint="eastAsia" w:ascii="宋体" w:hAnsi="宋体" w:eastAsia="宋体" w:cs="宋体"/>
                <w:color w:val="000000"/>
                <w:sz w:val="20"/>
                <w:szCs w:val="20"/>
                <w:lang w:val="en-US" w:eastAsia="zh-CN"/>
              </w:rPr>
            </w:pPr>
            <w:r>
              <w:rPr>
                <w:rFonts w:hint="eastAsia" w:ascii="宋体" w:hAnsi="宋体" w:eastAsia="宋体" w:cs="宋体"/>
                <w:color w:val="000000"/>
                <w:kern w:val="0"/>
                <w:sz w:val="20"/>
                <w:szCs w:val="20"/>
                <w:lang w:bidi="ar"/>
              </w:rPr>
              <w:t>全年实际完成了96户器官捐献者困难家庭的补助</w:t>
            </w:r>
            <w:r>
              <w:rPr>
                <w:rFonts w:hint="eastAsia" w:ascii="宋体" w:hAnsi="宋体" w:eastAsia="宋体" w:cs="宋体"/>
                <w:color w:val="000000"/>
                <w:kern w:val="0"/>
                <w:sz w:val="20"/>
                <w:szCs w:val="20"/>
                <w:lang w:eastAsia="zh-CN" w:bidi="ar"/>
              </w:rPr>
              <w:t>，其中财政资金完成</w:t>
            </w:r>
            <w:r>
              <w:rPr>
                <w:rFonts w:hint="eastAsia" w:ascii="宋体" w:hAnsi="宋体" w:eastAsia="宋体" w:cs="宋体"/>
                <w:color w:val="000000"/>
                <w:kern w:val="0"/>
                <w:sz w:val="20"/>
                <w:szCs w:val="20"/>
                <w:lang w:val="en-US" w:eastAsia="zh-CN" w:bidi="ar"/>
              </w:rPr>
              <w:t>50户。</w:t>
            </w:r>
          </w:p>
        </w:tc>
      </w:tr>
      <w:tr>
        <w:tblPrEx>
          <w:tblLayout w:type="fixed"/>
          <w:tblCellMar>
            <w:top w:w="15" w:type="dxa"/>
            <w:left w:w="15" w:type="dxa"/>
            <w:bottom w:w="15" w:type="dxa"/>
            <w:right w:w="15" w:type="dxa"/>
          </w:tblCellMar>
        </w:tblPrEx>
        <w:trPr>
          <w:trHeight w:val="690" w:hRule="atLeast"/>
        </w:trPr>
        <w:tc>
          <w:tcPr>
            <w:tcW w:w="642"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绩效指标</w:t>
            </w: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both"/>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一级指标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both"/>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二级指标</w:t>
            </w:r>
          </w:p>
        </w:tc>
        <w:tc>
          <w:tcPr>
            <w:tcW w:w="25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三级指标</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both"/>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年度指标值</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both"/>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全年完成值</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both"/>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未完成原因和改进措施</w:t>
            </w:r>
          </w:p>
        </w:tc>
      </w:tr>
      <w:tr>
        <w:tblPrEx>
          <w:tblLayout w:type="fixed"/>
          <w:tblCellMar>
            <w:top w:w="15" w:type="dxa"/>
            <w:left w:w="15" w:type="dxa"/>
            <w:bottom w:w="15" w:type="dxa"/>
            <w:right w:w="15" w:type="dxa"/>
          </w:tblCellMar>
        </w:tblPrEx>
        <w:trPr>
          <w:trHeight w:val="975"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ind w:firstLine="400"/>
              <w:jc w:val="center"/>
              <w:rPr>
                <w:rFonts w:ascii="宋体" w:hAnsi="宋体" w:eastAsia="宋体" w:cs="宋体"/>
                <w:color w:val="000000"/>
                <w:sz w:val="20"/>
                <w:szCs w:val="20"/>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产</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出</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指</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both"/>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数量指标</w:t>
            </w:r>
          </w:p>
        </w:tc>
        <w:tc>
          <w:tcPr>
            <w:tcW w:w="25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救助困难家庭数</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50个</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96户</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jc w:val="center"/>
              <w:rPr>
                <w:rFonts w:ascii="宋体" w:hAnsi="宋体" w:eastAsia="宋体" w:cs="宋体"/>
                <w:color w:val="000000"/>
                <w:sz w:val="20"/>
                <w:szCs w:val="20"/>
              </w:rPr>
            </w:pPr>
          </w:p>
        </w:tc>
      </w:tr>
      <w:tr>
        <w:tblPrEx>
          <w:tblLayout w:type="fixed"/>
          <w:tblCellMar>
            <w:top w:w="15" w:type="dxa"/>
            <w:left w:w="15" w:type="dxa"/>
            <w:bottom w:w="15" w:type="dxa"/>
            <w:right w:w="15" w:type="dxa"/>
          </w:tblCellMar>
        </w:tblPrEx>
        <w:trPr>
          <w:trHeight w:val="90" w:hRule="atLeast"/>
        </w:trPr>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ind w:firstLine="400"/>
              <w:jc w:val="center"/>
              <w:rPr>
                <w:rFonts w:ascii="宋体" w:hAnsi="宋体" w:eastAsia="宋体" w:cs="宋体"/>
                <w:color w:val="000000"/>
                <w:sz w:val="20"/>
                <w:szCs w:val="20"/>
              </w:rPr>
            </w:pPr>
          </w:p>
        </w:tc>
        <w:tc>
          <w:tcPr>
            <w:tcW w:w="105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both"/>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满意度指标</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both"/>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服务对象满意度指标</w:t>
            </w:r>
          </w:p>
        </w:tc>
        <w:tc>
          <w:tcPr>
            <w:tcW w:w="25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both"/>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救助人群满意度</w:t>
            </w:r>
          </w:p>
        </w:tc>
        <w:tc>
          <w:tcPr>
            <w:tcW w:w="9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90%以上</w:t>
            </w:r>
          </w:p>
        </w:tc>
        <w:tc>
          <w:tcPr>
            <w:tcW w:w="97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00" w:firstLineChars="100"/>
              <w:jc w:val="both"/>
              <w:textAlignment w:val="center"/>
              <w:rPr>
                <w:rFonts w:ascii="宋体" w:hAnsi="宋体" w:eastAsia="宋体" w:cs="宋体"/>
                <w:color w:val="000000"/>
                <w:sz w:val="20"/>
                <w:szCs w:val="20"/>
              </w:rPr>
            </w:pPr>
            <w:r>
              <w:rPr>
                <w:rFonts w:hint="eastAsia" w:ascii="宋体" w:hAnsi="宋体" w:eastAsia="宋体" w:cs="宋体"/>
                <w:color w:val="000000"/>
                <w:sz w:val="20"/>
                <w:szCs w:val="20"/>
              </w:rPr>
              <w:t>未开展</w:t>
            </w:r>
          </w:p>
        </w:tc>
        <w:tc>
          <w:tcPr>
            <w:tcW w:w="13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原因：1.根据《湖北省人体器官捐献条例》第二十六规定：从事人体器官捐献工作的单位和个人不得泄露或者不正当使用人体器官捐受双方的个人信息和资料，中心对人体器官捐受双方的个人信息和资料严格保密；</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2.没有器官捐献就没有器官移植。器官捐献者的大爱是建立在失去家属生命的痛苦之上，在家属万分悲痛之时做满意度调查于情于理都不合适；</w:t>
            </w:r>
            <w:r>
              <w:rPr>
                <w:rFonts w:hint="eastAsia" w:ascii="宋体" w:hAnsi="宋体" w:eastAsia="宋体" w:cs="宋体"/>
                <w:color w:val="000000"/>
                <w:kern w:val="0"/>
                <w:sz w:val="20"/>
                <w:szCs w:val="20"/>
                <w:lang w:bidi="ar"/>
              </w:rPr>
              <w:br w:type="textWrapping"/>
            </w:r>
            <w:r>
              <w:rPr>
                <w:rFonts w:hint="eastAsia" w:ascii="宋体" w:hAnsi="宋体" w:eastAsia="宋体" w:cs="宋体"/>
                <w:color w:val="000000"/>
                <w:kern w:val="0"/>
                <w:sz w:val="20"/>
                <w:szCs w:val="20"/>
                <w:lang w:bidi="ar"/>
              </w:rPr>
              <w:t>3.人道救助是对人体器官捐献者困难家庭的一次性救助，救助之后再做满意度回访，不利于恢复捐献者家庭的正常生活。改进措施：加强对绩效目标申报的科学性、合理性和可操作性的把控，学习兄弟省份或相关行业指标设置的先进经验，完善项目支出绩效目标编制。</w:t>
            </w:r>
          </w:p>
        </w:tc>
      </w:tr>
      <w:tr>
        <w:tblPrEx>
          <w:tblLayout w:type="fixed"/>
          <w:tblCellMar>
            <w:top w:w="15" w:type="dxa"/>
            <w:left w:w="15" w:type="dxa"/>
            <w:bottom w:w="15" w:type="dxa"/>
            <w:right w:w="15" w:type="dxa"/>
          </w:tblCellMar>
        </w:tblPrEx>
        <w:trPr>
          <w:trHeight w:val="241" w:hRule="atLeast"/>
        </w:trPr>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00" w:firstLineChars="1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说明</w:t>
            </w:r>
          </w:p>
        </w:tc>
        <w:tc>
          <w:tcPr>
            <w:tcW w:w="7694"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0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无。</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21371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720" w:firstLineChars="200"/>
    </w:pPr>
    <w:rPr>
      <w:rFonts w:ascii="Times New Roman" w:hAnsi="Times New Roman" w:eastAsia="仿宋_GB2312" w:cs="Times New Roman"/>
      <w:kern w:val="2"/>
      <w:sz w:val="30"/>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font91"/>
    <w:basedOn w:val="2"/>
    <w:qFormat/>
    <w:uiPriority w:val="0"/>
    <w:rPr>
      <w:rFonts w:hint="eastAsia" w:ascii="宋体" w:hAnsi="宋体" w:eastAsia="宋体" w:cs="宋体"/>
      <w:color w:val="000000"/>
      <w:sz w:val="32"/>
      <w:szCs w:val="32"/>
      <w:u w:val="none"/>
    </w:rPr>
  </w:style>
  <w:style w:type="character" w:customStyle="1" w:styleId="5">
    <w:name w:val="font71"/>
    <w:basedOn w:val="2"/>
    <w:qFormat/>
    <w:uiPriority w:val="0"/>
    <w:rPr>
      <w:rFonts w:hint="eastAsia" w:ascii="宋体" w:hAnsi="宋体" w:eastAsia="宋体" w:cs="宋体"/>
      <w:color w:val="000000"/>
      <w:sz w:val="20"/>
      <w:szCs w:val="20"/>
      <w:u w:val="none"/>
    </w:rPr>
  </w:style>
  <w:style w:type="character" w:customStyle="1" w:styleId="6">
    <w:name w:val="font101"/>
    <w:basedOn w:val="2"/>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近未来1416066386</cp:lastModifiedBy>
  <dcterms:modified xsi:type="dcterms:W3CDTF">2018-08-28T04:01:57Z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