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黑体" w:eastAsia="方正小标宋_GBK" w:cs="宋体"/>
          <w:kern w:val="0"/>
          <w:sz w:val="40"/>
          <w:szCs w:val="36"/>
        </w:rPr>
      </w:pPr>
      <w:bookmarkStart w:id="1" w:name="_GoBack"/>
      <w:bookmarkStart w:id="0" w:name="_Toc7024_WPSOffice_Level1"/>
      <w:r>
        <w:rPr>
          <w:rFonts w:hint="eastAsia" w:ascii="方正小标宋_GBK" w:hAnsi="黑体" w:eastAsia="方正小标宋_GBK" w:cs="宋体"/>
          <w:kern w:val="0"/>
          <w:sz w:val="30"/>
          <w:szCs w:val="30"/>
        </w:rPr>
        <w:t>2018年度</w:t>
      </w:r>
      <w:r>
        <w:rPr>
          <w:rFonts w:hint="eastAsia" w:ascii="方正小标宋_GBK" w:hAnsi="黑体" w:eastAsia="方正小标宋_GBK" w:cs="宋体"/>
          <w:kern w:val="0"/>
          <w:sz w:val="30"/>
          <w:szCs w:val="30"/>
          <w:lang w:eastAsia="zh-CN"/>
        </w:rPr>
        <w:t>省妇联妇女儿童及家庭发展促进项目</w:t>
      </w:r>
      <w:r>
        <w:rPr>
          <w:rFonts w:hint="eastAsia" w:ascii="方正小标宋_GBK" w:hAnsi="黑体" w:eastAsia="方正小标宋_GBK" w:cs="宋体"/>
          <w:kern w:val="0"/>
          <w:sz w:val="30"/>
          <w:szCs w:val="30"/>
        </w:rPr>
        <w:t>项目绩效自评表</w:t>
      </w:r>
      <w:bookmarkEnd w:id="0"/>
    </w:p>
    <w:bookmarkEnd w:id="1"/>
    <w:p>
      <w:pPr>
        <w:widowControl/>
        <w:jc w:val="left"/>
        <w:rPr>
          <w:rFonts w:hint="default" w:ascii="楷体_GB2312" w:hAnsi="黑体" w:eastAsia="楷体_GB2312" w:cs="宋体"/>
          <w:kern w:val="0"/>
          <w:sz w:val="48"/>
          <w:szCs w:val="36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4"/>
          <w:szCs w:val="20"/>
        </w:rPr>
        <w:t>填报日期：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>2019.5.30</w:t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 xml:space="preserve">   </w:t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 xml:space="preserve">       </w:t>
      </w:r>
      <w:r>
        <w:rPr>
          <w:rFonts w:hint="eastAsia" w:ascii="楷体_GB2312" w:hAnsi="宋体" w:eastAsia="楷体_GB2312" w:cs="宋体"/>
          <w:kern w:val="0"/>
          <w:sz w:val="24"/>
          <w:szCs w:val="20"/>
        </w:rPr>
        <w:t>总分：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>92.94</w:t>
      </w:r>
    </w:p>
    <w:tbl>
      <w:tblPr>
        <w:tblStyle w:val="2"/>
        <w:tblW w:w="87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232"/>
        <w:gridCol w:w="2016"/>
        <w:gridCol w:w="1021"/>
        <w:gridCol w:w="1257"/>
        <w:gridCol w:w="1070"/>
        <w:gridCol w:w="104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省妇联妇女儿童及家庭发展促进项目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湖北省妇女联合会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湖北省妇女联合会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76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、部门预算项目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√   2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、省直专项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□  3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、省对下转移支付项目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76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、持续性项目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√   2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、新增性项目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76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、常年性项目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√   2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、延续性项目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□      3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、一次性项目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预算执行情况（万元）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A)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(B)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(B/A)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年度财政资金总额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437.79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77.21%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指标权重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年初目标值（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A)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(B)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 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情景剧汇演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 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征集优质家庭教育课程库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50讲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50讲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调研报告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3份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3份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实施援助困难儿童项目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 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举办比赛场次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1次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问题解决率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有效解决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有效解决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扶持率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90%以上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建立网上家长学校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点击率突破20余万人次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点击率突破20余万人次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培育和践行社会主义核心价值观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形成主流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形成主流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加强留守儿童权益保护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开展活动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开展活动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扶贫计划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成效提升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成效提升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先进带头作用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成效显著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成效显著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服务对象满意指标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逐年提升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逐年提升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预算执行情况口径：预算数为调整后财政资金总额（包括上年结余结转），执行数为资金使用单位财政资金实际支出数。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定量指标完成数汇总原则：绝对值直接累加计算，相对值按照资金额度加权平均计算。定量指标计分原则：正向指标（即目标值为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≥X,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*B/A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），反向指标（即目标值为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≤X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，得分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*A/B)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，得分不得突破权重总额。定量指标先汇总完成数，再计算得分。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定性指标计分原则：达成预期指标、部分达成预期指标并具有一定效果、未达成预期指标且效果较差三档，分别按照该指标对应分值区间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100-80%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80-50%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50-0%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合理确定分值。汇总时，以资金额度为权重，对分值进行加权平均计算。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基于经济性和必要性等因素考虑，满意度指标暂可不作为必评指标。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7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7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sectPr>
      <w:pgSz w:w="11906" w:h="16838"/>
      <w:pgMar w:top="2154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040F2"/>
    <w:rsid w:val="7830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2019-09-03T22:45:00Z</dcterms:created>
  <dc:creator>sfl</dc:creator>
  <cp:lastModifiedBy>sfl</cp:lastModifiedBy>
  <dcterms:modified xsi:type="dcterms:W3CDTF">2019-09-03T22:46:01Z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